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/>
          <w:lang w:val="en-US" w:eastAsia="zh-CN"/>
        </w:rPr>
      </w:pPr>
      <w:bookmarkStart w:id="0" w:name="_GoBack"/>
      <w:r>
        <w:rPr>
          <w:rFonts w:hint="eastAsia"/>
        </w:rPr>
        <w:t>江西省科学技术馆</w:t>
      </w:r>
      <w:r>
        <w:rPr>
          <w:rFonts w:hint="eastAsia"/>
          <w:lang w:val="en-US" w:eastAsia="zh-CN"/>
        </w:rPr>
        <w:t>“科学家精神教育馆”常设展厅配电项目报价函</w:t>
      </w:r>
    </w:p>
    <w:bookmarkEnd w:id="0"/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江西省科学技术馆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360" w:lineRule="auto"/>
        <w:ind w:firstLine="480" w:firstLineChars="1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已进行现场勘察，</w:t>
      </w:r>
      <w:r>
        <w:rPr>
          <w:rFonts w:hint="eastAsia" w:ascii="仿宋" w:hAnsi="仿宋" w:eastAsia="仿宋" w:cs="仿宋"/>
          <w:sz w:val="32"/>
          <w:szCs w:val="32"/>
        </w:rPr>
        <w:t>拟就</w:t>
      </w:r>
      <w:r>
        <w:rPr>
          <w:rFonts w:hint="eastAsia"/>
        </w:rPr>
        <w:t>江西省科学技术馆</w:t>
      </w:r>
      <w:r>
        <w:rPr>
          <w:rFonts w:hint="eastAsia"/>
          <w:lang w:val="en-US" w:eastAsia="zh-CN"/>
        </w:rPr>
        <w:t>“科学家精神教育馆”常设展厅配电项目</w:t>
      </w:r>
      <w:r>
        <w:rPr>
          <w:rFonts w:hint="eastAsia" w:ascii="仿宋" w:hAnsi="仿宋" w:eastAsia="仿宋" w:cs="仿宋"/>
          <w:sz w:val="32"/>
          <w:szCs w:val="32"/>
        </w:rPr>
        <w:t>进行</w:t>
      </w:r>
      <w:r>
        <w:rPr>
          <w:rFonts w:hint="eastAsia" w:ascii="仿宋" w:hAnsi="仿宋" w:cs="仿宋"/>
          <w:sz w:val="32"/>
          <w:szCs w:val="32"/>
          <w:lang w:val="en-US" w:eastAsia="zh-CN"/>
        </w:rPr>
        <w:t>改造</w:t>
      </w:r>
      <w:r>
        <w:rPr>
          <w:rFonts w:hint="eastAsia" w:ascii="仿宋" w:hAnsi="仿宋" w:eastAsia="仿宋" w:cs="仿宋"/>
          <w:sz w:val="32"/>
          <w:szCs w:val="32"/>
        </w:rPr>
        <w:t>报价，按附件中的</w:t>
      </w:r>
      <w:r>
        <w:rPr>
          <w:rFonts w:hint="eastAsia" w:ascii="仿宋" w:hAnsi="仿宋" w:cs="仿宋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仿宋"/>
          <w:sz w:val="32"/>
          <w:szCs w:val="32"/>
        </w:rPr>
        <w:t>进行报价（含税、</w:t>
      </w:r>
      <w:r>
        <w:rPr>
          <w:rFonts w:hint="eastAsia" w:ascii="仿宋" w:hAnsi="仿宋" w:cs="仿宋"/>
          <w:sz w:val="32"/>
          <w:szCs w:val="32"/>
          <w:lang w:val="en-US" w:eastAsia="zh-CN"/>
        </w:rPr>
        <w:t>改造</w:t>
      </w:r>
      <w:r>
        <w:rPr>
          <w:rFonts w:hint="eastAsia" w:ascii="仿宋" w:hAnsi="仿宋" w:eastAsia="仿宋" w:cs="仿宋"/>
          <w:sz w:val="32"/>
          <w:szCs w:val="32"/>
        </w:rPr>
        <w:t>的报价格式详见附件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），报价格式如下：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</w:t>
      </w:r>
    </w:p>
    <w:p>
      <w:pPr>
        <w:ind w:firstLine="640" w:firstLineChars="200"/>
        <w:rPr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 w:cs="仿宋"/>
          <w:sz w:val="32"/>
          <w:szCs w:val="32"/>
        </w:rPr>
        <w:t xml:space="preserve">                 </w:t>
      </w:r>
    </w:p>
    <w:p>
      <w:pPr>
        <w:pStyle w:val="3"/>
        <w:numPr>
          <w:ilvl w:val="0"/>
          <w:numId w:val="0"/>
        </w:num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pStyle w:val="3"/>
        <w:numPr>
          <w:ilvl w:val="0"/>
          <w:numId w:val="0"/>
        </w:num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pStyle w:val="3"/>
        <w:numPr>
          <w:ilvl w:val="0"/>
          <w:numId w:val="0"/>
        </w:numPr>
        <w:jc w:val="right"/>
        <w:rPr>
          <w:rFonts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 w:val="0"/>
          <w:bCs/>
          <w:color w:val="000000"/>
          <w:sz w:val="32"/>
          <w:szCs w:val="32"/>
        </w:rPr>
        <w:t>XXXXX</w:t>
      </w:r>
    </w:p>
    <w:p>
      <w:pPr>
        <w:pStyle w:val="3"/>
        <w:numPr>
          <w:ilvl w:val="0"/>
          <w:numId w:val="0"/>
        </w:numPr>
        <w:jc w:val="righ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年</w:t>
      </w:r>
      <w:r>
        <w:rPr>
          <w:rFonts w:ascii="仿宋" w:hAnsi="仿宋" w:eastAsia="仿宋" w:cs="仿宋"/>
          <w:b w:val="0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月</w:t>
      </w:r>
      <w:r>
        <w:rPr>
          <w:rFonts w:ascii="仿宋" w:hAnsi="仿宋" w:eastAsia="仿宋" w:cs="仿宋"/>
          <w:b w:val="0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</w:p>
    <w:p>
      <w:pPr>
        <w:keepNext/>
        <w:keepLines/>
        <w:widowControl w:val="0"/>
        <w:numPr>
          <w:ilvl w:val="0"/>
          <w:numId w:val="0"/>
        </w:numPr>
        <w:spacing w:before="260" w:after="260" w:line="415" w:lineRule="auto"/>
        <w:jc w:val="left"/>
        <w:outlineLvl w:val="1"/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</w:pPr>
    </w:p>
    <w:p>
      <w:pPr>
        <w:keepNext/>
        <w:keepLines/>
        <w:widowControl w:val="0"/>
        <w:numPr>
          <w:ilvl w:val="0"/>
          <w:numId w:val="0"/>
        </w:numPr>
        <w:spacing w:before="260" w:after="260" w:line="415" w:lineRule="auto"/>
        <w:jc w:val="left"/>
        <w:outlineLvl w:val="1"/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</w:pPr>
    </w:p>
    <w:p>
      <w:pPr>
        <w:keepNext/>
        <w:keepLines/>
        <w:widowControl w:val="0"/>
        <w:numPr>
          <w:ilvl w:val="0"/>
          <w:numId w:val="0"/>
        </w:numPr>
        <w:spacing w:before="260" w:after="260" w:line="415" w:lineRule="auto"/>
        <w:jc w:val="left"/>
        <w:outlineLvl w:val="1"/>
        <w:rPr>
          <w:rFonts w:ascii="宋体" w:hAnsi="CG Times" w:eastAsia="宋体" w:cs="宋体"/>
          <w:b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  <w:t>附件</w:t>
      </w:r>
      <w:r>
        <w:rPr>
          <w:rFonts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  <w:t>1</w:t>
      </w:r>
    </w:p>
    <w:p>
      <w:pPr>
        <w:keepNext/>
        <w:keepLines/>
        <w:widowControl w:val="0"/>
        <w:numPr>
          <w:ilvl w:val="0"/>
          <w:numId w:val="0"/>
        </w:numPr>
        <w:spacing w:before="260" w:after="260" w:line="415" w:lineRule="auto"/>
        <w:jc w:val="center"/>
        <w:outlineLvl w:val="1"/>
        <w:rPr>
          <w:rFonts w:ascii="宋体" w:hAnsi="CG Times" w:eastAsia="宋体" w:cs="宋体"/>
          <w:b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  <w:t>报价一览表（格式可自拟）</w:t>
      </w:r>
    </w:p>
    <w:p>
      <w:pPr>
        <w:spacing w:line="360" w:lineRule="auto"/>
        <w:jc w:val="left"/>
        <w:rPr>
          <w:rFonts w:asci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名称：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     </w: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 </w:t>
      </w:r>
    </w:p>
    <w:tbl>
      <w:tblPr>
        <w:tblStyle w:val="4"/>
        <w:tblW w:w="914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5020"/>
        <w:gridCol w:w="33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812" w:type="dxa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02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308" w:type="dxa"/>
            <w:tcBorders>
              <w:top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总报价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（元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)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812" w:type="dxa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2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江西省科学技术馆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“科学家精神教育馆”常设展厅配电项目</w:t>
            </w:r>
          </w:p>
        </w:tc>
        <w:tc>
          <w:tcPr>
            <w:tcW w:w="3308" w:type="dxa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rPr>
          <w:rFonts w:ascii="宋体" w:eastAsia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beforeLines="100" w:afterLines="100" w:line="360" w:lineRule="auto"/>
        <w:rPr>
          <w:rFonts w:ascii="宋体" w:eastAsia="宋体" w:cs="宋体"/>
          <w:color w:val="000000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名称（盖章）：</w:t>
      </w:r>
      <w:r>
        <w:rPr>
          <w:rFonts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                     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法人或授权代表（签字）：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              </w:t>
      </w:r>
    </w:p>
    <w:p>
      <w:pPr>
        <w:widowControl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 xml:space="preserve">  </w:t>
      </w:r>
    </w:p>
    <w:p>
      <w:pPr>
        <w:widowControl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</w:pPr>
    </w:p>
    <w:p>
      <w:pPr>
        <w:widowControl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</w:pPr>
    </w:p>
    <w:p>
      <w:pPr>
        <w:widowControl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</w:pPr>
    </w:p>
    <w:p>
      <w:pPr>
        <w:widowControl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color w:val="000000"/>
          <w:sz w:val="24"/>
          <w:szCs w:val="24"/>
          <w:highlight w:val="none"/>
        </w:rPr>
      </w:pPr>
    </w:p>
    <w:p>
      <w:pPr>
        <w:widowControl/>
        <w:jc w:val="both"/>
        <w:rPr>
          <w:rFonts w:hint="eastAsia" w:ascii="宋体" w:hAnsi="宋体" w:cs="宋体"/>
          <w:color w:val="000000"/>
          <w:sz w:val="24"/>
          <w:szCs w:val="24"/>
          <w:highlight w:val="none"/>
        </w:rPr>
      </w:pPr>
    </w:p>
    <w:p>
      <w:pPr>
        <w:widowControl/>
        <w:jc w:val="both"/>
        <w:rPr>
          <w:rFonts w:hint="eastAsia" w:ascii="宋体" w:hAnsi="宋体" w:cs="宋体"/>
          <w:color w:val="000000"/>
          <w:sz w:val="24"/>
          <w:szCs w:val="24"/>
          <w:highlight w:val="none"/>
        </w:rPr>
      </w:pPr>
    </w:p>
    <w:p>
      <w:pPr>
        <w:widowControl/>
        <w:jc w:val="both"/>
        <w:rPr>
          <w:rFonts w:hint="eastAsia" w:ascii="宋体" w:hAnsi="宋体" w:cs="宋体"/>
          <w:color w:val="000000"/>
          <w:sz w:val="24"/>
          <w:szCs w:val="24"/>
          <w:highlight w:val="none"/>
        </w:rPr>
      </w:pPr>
    </w:p>
    <w:p>
      <w:pPr>
        <w:widowControl/>
        <w:jc w:val="both"/>
        <w:rPr>
          <w:rFonts w:hint="eastAsia" w:ascii="宋体" w:hAnsi="宋体" w:cs="宋体"/>
          <w:color w:val="000000"/>
          <w:sz w:val="24"/>
          <w:szCs w:val="24"/>
          <w:highlight w:val="none"/>
        </w:rPr>
      </w:pPr>
    </w:p>
    <w:p>
      <w:pPr>
        <w:widowControl/>
        <w:jc w:val="both"/>
        <w:rPr>
          <w:rFonts w:hint="eastAsia" w:ascii="宋体" w:hAnsi="宋体" w:cs="宋体"/>
          <w:color w:val="000000"/>
          <w:sz w:val="24"/>
          <w:szCs w:val="24"/>
          <w:highlight w:val="none"/>
        </w:rPr>
      </w:pPr>
    </w:p>
    <w:p>
      <w:pPr>
        <w:widowControl/>
        <w:jc w:val="both"/>
        <w:rPr>
          <w:rFonts w:hint="eastAsia" w:ascii="宋体" w:hAnsi="宋体" w:cs="宋体"/>
          <w:color w:val="000000"/>
          <w:sz w:val="24"/>
          <w:szCs w:val="24"/>
          <w:highlight w:val="none"/>
        </w:rPr>
      </w:pPr>
    </w:p>
    <w:tbl>
      <w:tblPr>
        <w:tblStyle w:val="4"/>
        <w:tblpPr w:leftFromText="180" w:rightFromText="180" w:vertAnchor="text" w:horzAnchor="page" w:tblpX="586" w:tblpY="301"/>
        <w:tblOverlap w:val="never"/>
        <w:tblW w:w="10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398"/>
        <w:gridCol w:w="3278"/>
        <w:gridCol w:w="842"/>
        <w:gridCol w:w="862"/>
        <w:gridCol w:w="1584"/>
        <w:gridCol w:w="13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215265</wp:posOffset>
                  </wp:positionV>
                  <wp:extent cx="62865" cy="0"/>
                  <wp:effectExtent l="0" t="0" r="0" b="0"/>
                  <wp:wrapNone/>
                  <wp:docPr id="1" name="Line_2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ne_27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215265</wp:posOffset>
                  </wp:positionV>
                  <wp:extent cx="62865" cy="0"/>
                  <wp:effectExtent l="0" t="0" r="0" b="0"/>
                  <wp:wrapNone/>
                  <wp:docPr id="2" name="Line_2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ine_28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215265</wp:posOffset>
                  </wp:positionV>
                  <wp:extent cx="62865" cy="0"/>
                  <wp:effectExtent l="0" t="0" r="0" b="0"/>
                  <wp:wrapNone/>
                  <wp:docPr id="3" name="Line_2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ine_28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安装工程报价明细表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电缆</w:t>
            </w:r>
          </w:p>
        </w:tc>
        <w:tc>
          <w:tcPr>
            <w:tcW w:w="3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WDZA-YJY-4*50+1*25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桥架</w:t>
            </w:r>
          </w:p>
        </w:tc>
        <w:tc>
          <w:tcPr>
            <w:tcW w:w="3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钢制，250*100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m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管理费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税费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widowControl/>
        <w:ind w:left="-1280" w:leftChars="-400" w:right="-1293" w:rightChars="-404" w:firstLine="0" w:firstLineChars="0"/>
        <w:jc w:val="left"/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  <w:t>注：1.报价中应包含设备、材料主材、辅材费、安装人工费、调试费、管理费、税金等间接费。</w:t>
      </w:r>
    </w:p>
    <w:p>
      <w:pPr>
        <w:widowControl/>
        <w:ind w:left="-1280" w:leftChars="-400" w:right="-1293" w:rightChars="-404" w:firstLine="562" w:firstLineChars="200"/>
        <w:jc w:val="left"/>
        <w:rPr>
          <w:rFonts w:hint="default" w:ascii="宋体" w:hAnsi="宋体" w:eastAsia="宋体" w:cs="宋体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  <w:t>2.报价中应含原有桥架盖板拆、装费，墙面开洞及修复等费用。</w:t>
      </w:r>
    </w:p>
    <w:p>
      <w:pPr>
        <w:widowControl/>
        <w:jc w:val="both"/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287A74"/>
    <w:multiLevelType w:val="singleLevel"/>
    <w:tmpl w:val="BB287A7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28020941"/>
    <w:multiLevelType w:val="multilevel"/>
    <w:tmpl w:val="28020941"/>
    <w:lvl w:ilvl="0" w:tentative="0">
      <w:start w:val="1"/>
      <w:numFmt w:val="chineseCountingThousand"/>
      <w:suff w:val="nothing"/>
      <w:lvlText w:val="第%1部分"/>
      <w:lvlJc w:val="left"/>
      <w:pPr>
        <w:ind w:left="7372"/>
      </w:pPr>
      <w:rPr>
        <w:rFonts w:cs="Times New Roman"/>
      </w:rPr>
    </w:lvl>
    <w:lvl w:ilvl="1" w:tentative="0">
      <w:start w:val="1"/>
      <w:numFmt w:val="upperLetter"/>
      <w:pStyle w:val="3"/>
      <w:suff w:val="nothing"/>
      <w:lvlText w:val="%2"/>
      <w:lvlJc w:val="left"/>
      <w:pPr>
        <w:ind w:left="4516"/>
      </w:pPr>
      <w:rPr>
        <w:rFonts w:cs="Times New Roman"/>
      </w:rPr>
    </w:lvl>
    <w:lvl w:ilvl="2" w:tentative="0">
      <w:start w:val="1"/>
      <w:numFmt w:val="decimal"/>
      <w:lvlRestart w:val="0"/>
      <w:suff w:val="nothing"/>
      <w:lvlText w:val="%3"/>
      <w:lvlJc w:val="left"/>
      <w:pPr>
        <w:ind w:left="4516"/>
      </w:pPr>
      <w:rPr>
        <w:rFonts w:hint="eastAsia" w:ascii="宋体" w:eastAsia="宋体" w:cs="Times New Roman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  <w:lvl w:ilvl="4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  <w:lvl w:ilvl="5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ZTg4ODIwN2RlOTlmZTUzMDFlNWMzMjhhMjFlNjcifQ=="/>
  </w:docVars>
  <w:rsids>
    <w:rsidRoot w:val="50BE55DA"/>
    <w:rsid w:val="50BE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宋体"/>
      <w:b/>
      <w:kern w:val="44"/>
      <w:sz w:val="44"/>
    </w:rPr>
  </w:style>
  <w:style w:type="paragraph" w:styleId="3">
    <w:name w:val="heading 2"/>
    <w:basedOn w:val="1"/>
    <w:next w:val="1"/>
    <w:qFormat/>
    <w:uiPriority w:val="99"/>
    <w:pPr>
      <w:keepNext/>
      <w:keepLines/>
      <w:numPr>
        <w:ilvl w:val="1"/>
        <w:numId w:val="1"/>
      </w:numPr>
      <w:spacing w:before="260" w:after="260" w:line="415" w:lineRule="auto"/>
      <w:jc w:val="center"/>
      <w:outlineLvl w:val="1"/>
    </w:pPr>
    <w:rPr>
      <w:rFonts w:ascii="CG Times" w:hAnsi="CG Times"/>
      <w:b/>
      <w:sz w:val="30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334</Words>
  <Characters>366</Characters>
  <Lines>0</Lines>
  <Paragraphs>0</Paragraphs>
  <TotalTime>0</TotalTime>
  <ScaleCrop>false</ScaleCrop>
  <LinksUpToDate>false</LinksUpToDate>
  <CharactersWithSpaces>502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2023-09-04T03:41:00Z</dcterms:created>
  <dc:creator>一米阳光</dc:creator>
  <cp:lastModifiedBy>一米阳光</cp:lastModifiedBy>
  <dcterms:modified xsi:type="dcterms:W3CDTF">2023-09-04T03:42:07Z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6C50D0DEFEF14E33A9D9385C0B47D5A9_11</vt:lpwstr>
  </property>
</Properties>
</file>