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center"/>
        <w:textAlignment w:val="auto"/>
        <w:rPr>
          <w:rFonts w:hint="eastAsia"/>
          <w:lang w:val="en-US" w:eastAsia="zh-CN"/>
        </w:rPr>
      </w:pP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center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江西省科学技术馆家具采购项目报价函</w:t>
      </w:r>
    </w:p>
    <w:p>
      <w:pPr>
        <w:spacing w:line="360" w:lineRule="auto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江西省科学技术馆</w:t>
      </w:r>
      <w:r>
        <w:rPr>
          <w:rFonts w:hint="eastAsia" w:ascii="仿宋" w:hAnsi="仿宋" w:eastAsia="仿宋" w:cs="仿宋"/>
          <w:sz w:val="32"/>
          <w:szCs w:val="32"/>
        </w:rPr>
        <w:t>：</w:t>
      </w:r>
    </w:p>
    <w:p>
      <w:pPr>
        <w:spacing w:line="360" w:lineRule="auto"/>
        <w:ind w:firstLine="480" w:firstLineChars="15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我单位拟就“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江西省科学技术馆</w:t>
      </w:r>
      <w:r>
        <w:rPr>
          <w:rFonts w:hint="eastAsia" w:ascii="仿宋" w:hAnsi="仿宋" w:cs="仿宋"/>
          <w:sz w:val="32"/>
          <w:szCs w:val="32"/>
          <w:lang w:val="en-US" w:eastAsia="zh-CN"/>
        </w:rPr>
        <w:t>家具采购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项目</w:t>
      </w:r>
      <w:r>
        <w:rPr>
          <w:rFonts w:hint="eastAsia" w:ascii="仿宋" w:hAnsi="仿宋" w:eastAsia="仿宋" w:cs="仿宋"/>
          <w:sz w:val="32"/>
          <w:szCs w:val="32"/>
        </w:rPr>
        <w:t>”进行报价，按附件中的</w:t>
      </w:r>
      <w:r>
        <w:rPr>
          <w:rFonts w:hint="eastAsia" w:ascii="仿宋" w:hAnsi="仿宋" w:cs="仿宋"/>
          <w:sz w:val="32"/>
          <w:szCs w:val="32"/>
          <w:lang w:val="en-US" w:eastAsia="zh-CN"/>
        </w:rPr>
        <w:t>要求</w:t>
      </w:r>
      <w:r>
        <w:rPr>
          <w:rFonts w:hint="eastAsia" w:ascii="仿宋" w:hAnsi="仿宋" w:eastAsia="仿宋" w:cs="仿宋"/>
          <w:sz w:val="32"/>
          <w:szCs w:val="32"/>
        </w:rPr>
        <w:t>进行报价（含税、</w:t>
      </w:r>
      <w:r>
        <w:rPr>
          <w:rFonts w:hint="eastAsia" w:ascii="仿宋" w:hAnsi="仿宋" w:cs="仿宋"/>
          <w:sz w:val="32"/>
          <w:szCs w:val="32"/>
          <w:lang w:val="en-US" w:eastAsia="zh-CN"/>
        </w:rPr>
        <w:t>运输安装到位</w:t>
      </w:r>
      <w:bookmarkStart w:id="0" w:name="_GoBack"/>
      <w:bookmarkEnd w:id="0"/>
      <w:r>
        <w:rPr>
          <w:rFonts w:hint="eastAsia" w:ascii="仿宋" w:hAnsi="仿宋" w:cs="仿宋"/>
          <w:sz w:val="32"/>
          <w:szCs w:val="32"/>
          <w:lang w:val="en-US" w:eastAsia="zh-CN"/>
        </w:rPr>
        <w:t>的</w:t>
      </w:r>
      <w:r>
        <w:rPr>
          <w:rFonts w:hint="eastAsia" w:ascii="仿宋" w:hAnsi="仿宋" w:eastAsia="仿宋" w:cs="仿宋"/>
          <w:sz w:val="32"/>
          <w:szCs w:val="32"/>
        </w:rPr>
        <w:t>报价格式详见附件</w:t>
      </w:r>
      <w:r>
        <w:rPr>
          <w:rFonts w:ascii="仿宋" w:hAnsi="仿宋" w:eastAsia="仿宋" w:cs="仿宋"/>
          <w:sz w:val="32"/>
          <w:szCs w:val="32"/>
        </w:rPr>
        <w:t>1</w:t>
      </w:r>
      <w:r>
        <w:rPr>
          <w:rFonts w:hint="eastAsia" w:ascii="仿宋" w:hAnsi="仿宋" w:eastAsia="仿宋" w:cs="仿宋"/>
          <w:sz w:val="32"/>
          <w:szCs w:val="32"/>
        </w:rPr>
        <w:t>、</w:t>
      </w:r>
      <w:r>
        <w:rPr>
          <w:rFonts w:ascii="仿宋" w:hAnsi="仿宋" w:eastAsia="仿宋" w:cs="仿宋"/>
          <w:sz w:val="32"/>
          <w:szCs w:val="32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），报价格式如下：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  <w:u w:val="single"/>
        </w:rPr>
      </w:pPr>
      <w:r>
        <w:rPr>
          <w:rFonts w:hint="eastAsia" w:ascii="仿宋" w:hAnsi="仿宋" w:eastAsia="仿宋" w:cs="仿宋"/>
          <w:sz w:val="32"/>
          <w:szCs w:val="32"/>
        </w:rPr>
        <w:t>联系人：</w:t>
      </w:r>
      <w:r>
        <w:rPr>
          <w:rFonts w:ascii="仿宋" w:hAnsi="仿宋" w:eastAsia="仿宋" w:cs="仿宋"/>
          <w:sz w:val="32"/>
          <w:szCs w:val="32"/>
          <w:u w:val="single"/>
        </w:rPr>
        <w:t xml:space="preserve">                       </w:t>
      </w:r>
    </w:p>
    <w:p>
      <w:pPr>
        <w:ind w:firstLine="640" w:firstLineChars="200"/>
        <w:rPr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联系电话：</w:t>
      </w:r>
      <w:r>
        <w:rPr>
          <w:rFonts w:ascii="仿宋" w:hAnsi="仿宋" w:eastAsia="仿宋" w:cs="仿宋"/>
          <w:sz w:val="32"/>
          <w:szCs w:val="32"/>
          <w:u w:val="single"/>
        </w:rPr>
        <w:t xml:space="preserve">                     </w:t>
      </w:r>
      <w:r>
        <w:rPr>
          <w:rFonts w:ascii="仿宋" w:hAnsi="仿宋" w:eastAsia="仿宋" w:cs="仿宋"/>
          <w:sz w:val="32"/>
          <w:szCs w:val="32"/>
        </w:rPr>
        <w:t xml:space="preserve">                 </w:t>
      </w:r>
    </w:p>
    <w:p>
      <w:pPr>
        <w:pStyle w:val="3"/>
        <w:numPr>
          <w:ilvl w:val="0"/>
          <w:numId w:val="0"/>
        </w:numPr>
        <w:rPr>
          <w:rFonts w:ascii="仿宋" w:hAnsi="仿宋" w:eastAsia="仿宋" w:cs="仿宋"/>
          <w:color w:val="000000"/>
          <w:sz w:val="32"/>
          <w:szCs w:val="32"/>
        </w:rPr>
      </w:pPr>
    </w:p>
    <w:p>
      <w:pPr>
        <w:pStyle w:val="3"/>
        <w:numPr>
          <w:ilvl w:val="0"/>
          <w:numId w:val="0"/>
        </w:numPr>
        <w:rPr>
          <w:rFonts w:ascii="仿宋" w:hAnsi="仿宋" w:eastAsia="仿宋" w:cs="仿宋"/>
          <w:color w:val="000000"/>
          <w:sz w:val="32"/>
          <w:szCs w:val="32"/>
        </w:rPr>
      </w:pPr>
    </w:p>
    <w:p>
      <w:pPr>
        <w:pStyle w:val="3"/>
        <w:numPr>
          <w:ilvl w:val="0"/>
          <w:numId w:val="0"/>
        </w:numPr>
        <w:jc w:val="right"/>
        <w:rPr>
          <w:rFonts w:ascii="仿宋" w:hAnsi="仿宋" w:eastAsia="仿宋" w:cs="仿宋"/>
          <w:b w:val="0"/>
          <w:bCs/>
          <w:color w:val="000000"/>
          <w:sz w:val="32"/>
          <w:szCs w:val="32"/>
        </w:rPr>
      </w:pPr>
      <w:r>
        <w:rPr>
          <w:rFonts w:ascii="仿宋" w:hAnsi="仿宋" w:eastAsia="仿宋" w:cs="仿宋"/>
          <w:b w:val="0"/>
          <w:bCs/>
          <w:color w:val="000000"/>
          <w:sz w:val="32"/>
          <w:szCs w:val="32"/>
        </w:rPr>
        <w:t>XXXXX</w:t>
      </w:r>
    </w:p>
    <w:p>
      <w:pPr>
        <w:pStyle w:val="3"/>
        <w:numPr>
          <w:ilvl w:val="0"/>
          <w:numId w:val="0"/>
        </w:numPr>
        <w:jc w:val="right"/>
        <w:rPr>
          <w:rFonts w:hint="eastAsia" w:ascii="仿宋" w:hAnsi="仿宋" w:eastAsia="仿宋" w:cs="仿宋"/>
          <w:b w:val="0"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color w:val="000000"/>
          <w:sz w:val="32"/>
          <w:szCs w:val="32"/>
        </w:rPr>
        <w:t>年</w:t>
      </w:r>
      <w:r>
        <w:rPr>
          <w:rFonts w:ascii="仿宋" w:hAnsi="仿宋" w:eastAsia="仿宋" w:cs="仿宋"/>
          <w:b w:val="0"/>
          <w:bCs/>
          <w:color w:val="000000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b w:val="0"/>
          <w:bCs/>
          <w:color w:val="000000"/>
          <w:sz w:val="32"/>
          <w:szCs w:val="32"/>
        </w:rPr>
        <w:t>月</w:t>
      </w:r>
      <w:r>
        <w:rPr>
          <w:rFonts w:ascii="仿宋" w:hAnsi="仿宋" w:eastAsia="仿宋" w:cs="仿宋"/>
          <w:b w:val="0"/>
          <w:bCs/>
          <w:color w:val="000000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b w:val="0"/>
          <w:bCs/>
          <w:color w:val="000000"/>
          <w:sz w:val="32"/>
          <w:szCs w:val="32"/>
        </w:rPr>
        <w:t>日</w:t>
      </w:r>
    </w:p>
    <w:p>
      <w:pPr>
        <w:rPr>
          <w:rFonts w:hint="eastAsia" w:ascii="仿宋" w:hAnsi="仿宋" w:eastAsia="仿宋" w:cs="仿宋"/>
          <w:b w:val="0"/>
          <w:bCs/>
          <w:color w:val="000000"/>
          <w:sz w:val="32"/>
          <w:szCs w:val="32"/>
        </w:rPr>
      </w:pPr>
    </w:p>
    <w:p>
      <w:pPr>
        <w:keepNext/>
        <w:keepLines/>
        <w:widowControl w:val="0"/>
        <w:numPr>
          <w:ilvl w:val="0"/>
          <w:numId w:val="0"/>
        </w:numPr>
        <w:spacing w:before="260" w:after="260" w:line="415" w:lineRule="auto"/>
        <w:jc w:val="left"/>
        <w:outlineLvl w:val="1"/>
        <w:rPr>
          <w:rFonts w:hint="eastAsia" w:ascii="宋体" w:hAnsi="宋体" w:eastAsia="宋体" w:cs="宋体"/>
          <w:b/>
          <w:color w:val="000000"/>
          <w:kern w:val="2"/>
          <w:sz w:val="28"/>
          <w:szCs w:val="28"/>
          <w:lang w:val="en-US" w:eastAsia="zh-CN" w:bidi="ar-SA"/>
        </w:rPr>
      </w:pPr>
    </w:p>
    <w:p>
      <w:pPr>
        <w:keepNext/>
        <w:keepLines/>
        <w:widowControl w:val="0"/>
        <w:numPr>
          <w:ilvl w:val="0"/>
          <w:numId w:val="0"/>
        </w:numPr>
        <w:spacing w:before="260" w:after="260" w:line="415" w:lineRule="auto"/>
        <w:jc w:val="left"/>
        <w:outlineLvl w:val="1"/>
        <w:rPr>
          <w:rFonts w:hint="eastAsia" w:ascii="宋体" w:hAnsi="宋体" w:eastAsia="宋体" w:cs="宋体"/>
          <w:b/>
          <w:color w:val="000000"/>
          <w:kern w:val="2"/>
          <w:sz w:val="28"/>
          <w:szCs w:val="28"/>
          <w:lang w:val="en-US" w:eastAsia="zh-CN" w:bidi="ar-SA"/>
        </w:rPr>
      </w:pPr>
    </w:p>
    <w:p>
      <w:pPr>
        <w:keepNext/>
        <w:keepLines/>
        <w:widowControl w:val="0"/>
        <w:numPr>
          <w:ilvl w:val="0"/>
          <w:numId w:val="0"/>
        </w:numPr>
        <w:spacing w:before="260" w:after="260" w:line="415" w:lineRule="auto"/>
        <w:jc w:val="left"/>
        <w:outlineLvl w:val="1"/>
        <w:rPr>
          <w:rFonts w:ascii="宋体" w:hAnsi="CG Times" w:eastAsia="宋体" w:cs="宋体"/>
          <w:b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/>
          <w:color w:val="000000"/>
          <w:kern w:val="2"/>
          <w:sz w:val="28"/>
          <w:szCs w:val="28"/>
          <w:lang w:val="en-US" w:eastAsia="zh-CN" w:bidi="ar-SA"/>
        </w:rPr>
        <w:t>附件</w:t>
      </w:r>
      <w:r>
        <w:rPr>
          <w:rFonts w:ascii="宋体" w:hAnsi="宋体" w:eastAsia="宋体" w:cs="宋体"/>
          <w:b/>
          <w:color w:val="000000"/>
          <w:kern w:val="2"/>
          <w:sz w:val="28"/>
          <w:szCs w:val="28"/>
          <w:lang w:val="en-US" w:eastAsia="zh-CN" w:bidi="ar-SA"/>
        </w:rPr>
        <w:t>1</w:t>
      </w:r>
    </w:p>
    <w:p>
      <w:pPr>
        <w:keepNext/>
        <w:keepLines/>
        <w:widowControl w:val="0"/>
        <w:numPr>
          <w:ilvl w:val="0"/>
          <w:numId w:val="0"/>
        </w:numPr>
        <w:spacing w:before="260" w:after="260" w:line="415" w:lineRule="auto"/>
        <w:jc w:val="center"/>
        <w:outlineLvl w:val="1"/>
        <w:rPr>
          <w:rFonts w:ascii="宋体" w:hAnsi="CG Times" w:eastAsia="宋体" w:cs="宋体"/>
          <w:b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/>
          <w:color w:val="000000"/>
          <w:kern w:val="2"/>
          <w:sz w:val="28"/>
          <w:szCs w:val="28"/>
          <w:lang w:val="en-US" w:eastAsia="zh-CN" w:bidi="ar-SA"/>
        </w:rPr>
        <w:t>报价一览表（格式可自拟）</w:t>
      </w:r>
    </w:p>
    <w:p>
      <w:pPr>
        <w:spacing w:line="360" w:lineRule="auto"/>
        <w:jc w:val="left"/>
        <w:rPr>
          <w:rFonts w:asci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单位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名称：</w:t>
      </w:r>
      <w:r>
        <w:rPr>
          <w:rFonts w:ascii="宋体" w:hAnsi="宋体" w:eastAsia="宋体" w:cs="宋体"/>
          <w:color w:val="000000"/>
          <w:sz w:val="24"/>
          <w:szCs w:val="24"/>
          <w:u w:val="single"/>
        </w:rPr>
        <w:t xml:space="preserve">                </w:t>
      </w:r>
      <w:r>
        <w:rPr>
          <w:rFonts w:ascii="宋体" w:hAnsi="宋体" w:eastAsia="宋体" w:cs="宋体"/>
          <w:color w:val="000000"/>
          <w:sz w:val="24"/>
          <w:szCs w:val="24"/>
        </w:rPr>
        <w:t xml:space="preserve"> </w:t>
      </w:r>
    </w:p>
    <w:tbl>
      <w:tblPr>
        <w:tblStyle w:val="4"/>
        <w:tblW w:w="9140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2"/>
        <w:gridCol w:w="5020"/>
        <w:gridCol w:w="330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1" w:hRule="atLeast"/>
        </w:trPr>
        <w:tc>
          <w:tcPr>
            <w:tcW w:w="812" w:type="dxa"/>
            <w:tcBorders>
              <w:top w:val="single" w:color="auto" w:sz="8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5020" w:type="dxa"/>
            <w:tcBorders>
              <w:top w:val="single" w:color="auto" w:sz="8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项目名称</w:t>
            </w:r>
          </w:p>
        </w:tc>
        <w:tc>
          <w:tcPr>
            <w:tcW w:w="3308" w:type="dxa"/>
            <w:tcBorders>
              <w:top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总报价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（元</w:t>
            </w: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 xml:space="preserve">)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1" w:hRule="atLeast"/>
        </w:trPr>
        <w:tc>
          <w:tcPr>
            <w:tcW w:w="812" w:type="dxa"/>
            <w:tcBorders>
              <w:left w:val="single" w:color="auto" w:sz="4" w:space="0"/>
              <w:bottom w:val="single" w:color="auto" w:sz="8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5020" w:type="dxa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江西省科学技术馆家具采购项目</w:t>
            </w:r>
          </w:p>
        </w:tc>
        <w:tc>
          <w:tcPr>
            <w:tcW w:w="3308" w:type="dxa"/>
            <w:tcBorders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eastAsia="宋体" w:cs="宋体"/>
                <w:color w:val="000000"/>
                <w:sz w:val="24"/>
                <w:szCs w:val="24"/>
              </w:rPr>
            </w:pPr>
          </w:p>
        </w:tc>
      </w:tr>
    </w:tbl>
    <w:p>
      <w:pPr>
        <w:autoSpaceDE w:val="0"/>
        <w:autoSpaceDN w:val="0"/>
        <w:adjustRightInd w:val="0"/>
        <w:spacing w:line="360" w:lineRule="auto"/>
        <w:rPr>
          <w:rFonts w:ascii="宋体" w:eastAsia="宋体" w:cs="宋体"/>
          <w:color w:val="000000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beforeLines="100" w:afterLines="100" w:line="360" w:lineRule="auto"/>
        <w:rPr>
          <w:rFonts w:ascii="宋体" w:eastAsia="宋体" w:cs="宋体"/>
          <w:color w:val="000000"/>
          <w:kern w:val="0"/>
          <w:sz w:val="24"/>
          <w:szCs w:val="24"/>
          <w:u w:val="single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单位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名称（盖章）：</w:t>
      </w:r>
      <w:r>
        <w:rPr>
          <w:rFonts w:ascii="宋体" w:hAnsi="宋体" w:eastAsia="宋体" w:cs="宋体"/>
          <w:color w:val="000000"/>
          <w:kern w:val="0"/>
          <w:sz w:val="24"/>
          <w:szCs w:val="24"/>
          <w:u w:val="single"/>
        </w:rPr>
        <w:t xml:space="preserve">                            </w:t>
      </w:r>
    </w:p>
    <w:p>
      <w:pPr>
        <w:rPr>
          <w:rFonts w:asci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法人或授权代表（签字）：</w:t>
      </w:r>
      <w:r>
        <w:rPr>
          <w:rFonts w:ascii="宋体" w:hAnsi="宋体" w:eastAsia="宋体" w:cs="宋体"/>
          <w:color w:val="000000"/>
          <w:sz w:val="24"/>
          <w:szCs w:val="24"/>
          <w:u w:val="single"/>
        </w:rPr>
        <w:t xml:space="preserve">                         </w:t>
      </w:r>
    </w:p>
    <w:p>
      <w:pPr>
        <w:widowControl/>
        <w:jc w:val="left"/>
        <w:rPr>
          <w:rFonts w:hint="eastAsia" w:ascii="宋体" w:hAnsi="宋体" w:cs="宋体"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cs="宋体"/>
          <w:color w:val="000000"/>
          <w:sz w:val="28"/>
          <w:szCs w:val="28"/>
          <w:highlight w:val="none"/>
          <w:lang w:val="en-US" w:eastAsia="zh-CN"/>
        </w:rPr>
        <w:t xml:space="preserve">  </w:t>
      </w:r>
    </w:p>
    <w:p>
      <w:pPr>
        <w:widowControl/>
        <w:jc w:val="left"/>
        <w:rPr>
          <w:rFonts w:hint="eastAsia" w:ascii="宋体" w:hAnsi="宋体" w:cs="宋体"/>
          <w:color w:val="000000"/>
          <w:sz w:val="28"/>
          <w:szCs w:val="28"/>
          <w:highlight w:val="none"/>
          <w:lang w:val="en-US" w:eastAsia="zh-CN"/>
        </w:rPr>
      </w:pPr>
    </w:p>
    <w:p>
      <w:pPr>
        <w:widowControl/>
        <w:jc w:val="left"/>
        <w:rPr>
          <w:rFonts w:hint="eastAsia" w:ascii="宋体" w:hAnsi="宋体" w:cs="宋体"/>
          <w:color w:val="000000"/>
          <w:sz w:val="28"/>
          <w:szCs w:val="28"/>
          <w:highlight w:val="none"/>
          <w:lang w:val="en-US" w:eastAsia="zh-CN"/>
        </w:rPr>
      </w:pPr>
    </w:p>
    <w:p>
      <w:pPr>
        <w:widowControl/>
        <w:jc w:val="left"/>
        <w:rPr>
          <w:rFonts w:hint="eastAsia" w:ascii="宋体" w:hAnsi="宋体" w:cs="宋体"/>
          <w:color w:val="000000"/>
          <w:sz w:val="28"/>
          <w:szCs w:val="28"/>
          <w:highlight w:val="none"/>
          <w:lang w:val="en-US" w:eastAsia="zh-CN"/>
        </w:rPr>
      </w:pPr>
    </w:p>
    <w:p>
      <w:pPr>
        <w:widowControl/>
        <w:jc w:val="left"/>
        <w:rPr>
          <w:rFonts w:hint="eastAsia" w:ascii="宋体" w:hAnsi="宋体" w:cs="宋体"/>
          <w:color w:val="000000"/>
          <w:sz w:val="28"/>
          <w:szCs w:val="28"/>
          <w:highlight w:val="none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color w:val="000000"/>
          <w:sz w:val="24"/>
          <w:szCs w:val="24"/>
          <w:highlight w:val="none"/>
        </w:rPr>
      </w:pPr>
    </w:p>
    <w:p>
      <w:pPr>
        <w:widowControl/>
        <w:jc w:val="both"/>
        <w:rPr>
          <w:rFonts w:hint="eastAsia" w:ascii="宋体" w:hAnsi="宋体" w:cs="宋体"/>
          <w:color w:val="000000"/>
          <w:sz w:val="24"/>
          <w:szCs w:val="24"/>
          <w:highlight w:val="none"/>
        </w:rPr>
      </w:pPr>
    </w:p>
    <w:p>
      <w:pPr>
        <w:widowControl/>
        <w:jc w:val="both"/>
        <w:rPr>
          <w:rFonts w:hint="eastAsia" w:ascii="宋体" w:hAnsi="宋体" w:cs="宋体"/>
          <w:color w:val="000000"/>
          <w:sz w:val="24"/>
          <w:szCs w:val="24"/>
          <w:highlight w:val="none"/>
        </w:rPr>
      </w:pPr>
    </w:p>
    <w:p>
      <w:pPr>
        <w:widowControl/>
        <w:jc w:val="both"/>
        <w:rPr>
          <w:rFonts w:hint="eastAsia" w:ascii="宋体" w:hAnsi="宋体" w:cs="宋体"/>
          <w:color w:val="000000"/>
          <w:sz w:val="24"/>
          <w:szCs w:val="24"/>
          <w:highlight w:val="none"/>
        </w:rPr>
      </w:pPr>
    </w:p>
    <w:p>
      <w:pPr>
        <w:widowControl/>
        <w:jc w:val="both"/>
        <w:rPr>
          <w:rFonts w:hint="eastAsia" w:ascii="宋体" w:hAnsi="宋体" w:cs="宋体"/>
          <w:color w:val="000000"/>
          <w:sz w:val="24"/>
          <w:szCs w:val="24"/>
          <w:highlight w:val="none"/>
        </w:rPr>
      </w:pPr>
    </w:p>
    <w:p>
      <w:pPr>
        <w:widowControl/>
        <w:jc w:val="both"/>
        <w:rPr>
          <w:rFonts w:hint="eastAsia" w:ascii="宋体" w:hAnsi="宋体" w:cs="宋体"/>
          <w:color w:val="000000"/>
          <w:sz w:val="24"/>
          <w:szCs w:val="24"/>
          <w:highlight w:val="none"/>
        </w:rPr>
      </w:pPr>
    </w:p>
    <w:p>
      <w:pPr>
        <w:widowControl/>
        <w:jc w:val="both"/>
        <w:rPr>
          <w:rFonts w:hint="eastAsia" w:ascii="宋体" w:hAnsi="宋体" w:cs="宋体"/>
          <w:color w:val="000000"/>
          <w:sz w:val="24"/>
          <w:szCs w:val="24"/>
          <w:highlight w:val="none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tbl>
      <w:tblPr>
        <w:tblStyle w:val="4"/>
        <w:tblW w:w="1411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9"/>
        <w:gridCol w:w="1041"/>
        <w:gridCol w:w="2770"/>
        <w:gridCol w:w="1756"/>
        <w:gridCol w:w="4791"/>
        <w:gridCol w:w="738"/>
        <w:gridCol w:w="953"/>
        <w:gridCol w:w="148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4115" w:type="dxa"/>
            <w:gridSpan w:val="8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家具采购清单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品名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图片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规格（W*D*H）</w:t>
            </w:r>
          </w:p>
        </w:tc>
        <w:tc>
          <w:tcPr>
            <w:tcW w:w="4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材质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单价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服务台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381000</wp:posOffset>
                  </wp:positionH>
                  <wp:positionV relativeFrom="paragraph">
                    <wp:posOffset>73025</wp:posOffset>
                  </wp:positionV>
                  <wp:extent cx="920750" cy="845185"/>
                  <wp:effectExtent l="0" t="0" r="12700" b="12065"/>
                  <wp:wrapNone/>
                  <wp:docPr id="3" name="图片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_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0750" cy="8451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1200*600*1050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（内带活动柜）</w:t>
            </w:r>
          </w:p>
        </w:tc>
        <w:tc>
          <w:tcPr>
            <w:tcW w:w="4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优质品牌基材，经过防潮、防虫、防腐化学处理，环保优质耐磨三聚氢胺浸渍饰面，耐用且不易变色，封边光滑流畅，金属脚架喷涂最度均匀不易变色，各项原材料及成品环保标准均达到国家标准或以上。优质五金配件，经久耐用，实物外观与图片相似度95%以上。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屏风工作位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324485</wp:posOffset>
                  </wp:positionH>
                  <wp:positionV relativeFrom="paragraph">
                    <wp:posOffset>73025</wp:posOffset>
                  </wp:positionV>
                  <wp:extent cx="1068070" cy="836295"/>
                  <wp:effectExtent l="0" t="0" r="17780" b="1905"/>
                  <wp:wrapNone/>
                  <wp:docPr id="1" name="图片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_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8070" cy="8362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1200*1200*750</w:t>
            </w:r>
          </w:p>
        </w:tc>
        <w:tc>
          <w:tcPr>
            <w:tcW w:w="4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优质品牌基材，经过防潮、防虫、防腐化学处理，环保优质耐磨三聚氢胺浸渍饰面，耐用且不易变色，封边光滑流畅，金属脚架喷涂最度均匀不易变色，各项原材料及成品环保标准均达到国家标准或以上。优质五金配件，经久耐用，实物外观与图片相似度95%以上。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活动桌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87630</wp:posOffset>
                  </wp:positionH>
                  <wp:positionV relativeFrom="paragraph">
                    <wp:posOffset>167005</wp:posOffset>
                  </wp:positionV>
                  <wp:extent cx="1428115" cy="731520"/>
                  <wp:effectExtent l="0" t="0" r="635" b="11430"/>
                  <wp:wrapNone/>
                  <wp:docPr id="4" name="图片_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_1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115" cy="731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单个750*500*750(成套直径1500*750H)</w:t>
            </w:r>
          </w:p>
        </w:tc>
        <w:tc>
          <w:tcPr>
            <w:tcW w:w="4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冷轧钢管（宝钢），立柱为φ50*1.0圆管，拉杆为40*20*1.0方管，铝合金压铸接头，表面全处理后高温静电喷涂。固定可调脚。板材采用优质三聚氰胺饰面的刨花板基材，基材经过防虫防潮防腐处理，表面防刮耐磨，面板厚度25mm，1.5mmPVC封边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六门更衣柜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628015</wp:posOffset>
                  </wp:positionH>
                  <wp:positionV relativeFrom="paragraph">
                    <wp:posOffset>53975</wp:posOffset>
                  </wp:positionV>
                  <wp:extent cx="516890" cy="885190"/>
                  <wp:effectExtent l="0" t="0" r="16510" b="10160"/>
                  <wp:wrapNone/>
                  <wp:docPr id="5" name="Picture_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_3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6890" cy="885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900*515* 1800</w:t>
            </w:r>
          </w:p>
        </w:tc>
        <w:tc>
          <w:tcPr>
            <w:tcW w:w="4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柜身采用0.8MM或以上厚热镀锌钢板，经过酸洗、水洗、表调等前处理程序，表面采用环保粉末高温静电喷涂处理；柜身左右两侧、上环均为薄边圆弧设计，厚度为12MM；门板配有六排斜式排列透气孔；每门的正上方均配有塑胶材料标签框，标签框内配有硬质纸板；拉手为锌合金材质弧形拉手，上门拉手在门锁下方，下门拉手在门锁上方；门锁打开或关闭状态均有明显标示；钥匙可以折叠；柜底配有四个水平调节脚。 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钢制文件柜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551180</wp:posOffset>
                  </wp:positionH>
                  <wp:positionV relativeFrom="paragraph">
                    <wp:posOffset>72390</wp:posOffset>
                  </wp:positionV>
                  <wp:extent cx="675005" cy="872490"/>
                  <wp:effectExtent l="0" t="0" r="10795" b="3810"/>
                  <wp:wrapNone/>
                  <wp:docPr id="6" name="图片_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_7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5005" cy="872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850*390*1800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（5层）</w:t>
            </w:r>
          </w:p>
        </w:tc>
        <w:tc>
          <w:tcPr>
            <w:tcW w:w="4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选用优质实厚0.8MM或以上厚钢板，多层防锈处理，聚脂静电粉末喷塑，环保无毒害,无气味。美观大方，防潮防腐。层板采用0.8mm钢板，厚度23±2mm，采用三折弯边工艺，底部中缝配加强筋一条，搁板每层承重≥40±10KG。内外部五金配件及框架等均做防锈处理，造型时尚简洁，实物外观与图片相似度95%以上。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活动储物柜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523875</wp:posOffset>
                  </wp:positionH>
                  <wp:positionV relativeFrom="paragraph">
                    <wp:posOffset>89535</wp:posOffset>
                  </wp:positionV>
                  <wp:extent cx="770255" cy="814705"/>
                  <wp:effectExtent l="0" t="0" r="10795" b="4445"/>
                  <wp:wrapNone/>
                  <wp:docPr id="2" name="图片_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_6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0255" cy="814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650*400*850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（白色）</w:t>
            </w:r>
          </w:p>
        </w:tc>
        <w:tc>
          <w:tcPr>
            <w:tcW w:w="4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选用优质实厚1.0MM或以上厚钢板，多层防锈处理，聚脂静电粉末喷塑，环保无毒害,无气味。美观大方，防潮防腐。层板采用0.8mm钢板，厚度23±2mm，采用三折弯边工艺，底部中缝配加强筋一条，搁板每层承重≥40±10KG。内外部五金配件及框架等均做防锈处理，造型时尚简洁，实物外观与图片相似度95%以上。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6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合计（大写）：</w:t>
            </w:r>
          </w:p>
        </w:tc>
        <w:tc>
          <w:tcPr>
            <w:tcW w:w="92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合计（小写）：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>
      <w:pPr>
        <w:widowControl/>
        <w:ind w:left="-1280" w:leftChars="-400" w:right="-1293" w:rightChars="-404" w:firstLine="1405" w:firstLineChars="500"/>
        <w:jc w:val="left"/>
        <w:rPr>
          <w:rFonts w:hint="eastAsia" w:ascii="宋体" w:hAnsi="宋体" w:cs="宋体"/>
          <w:color w:val="000000"/>
          <w:sz w:val="24"/>
          <w:szCs w:val="24"/>
          <w:highlight w:val="none"/>
        </w:rPr>
        <w:sectPr>
          <w:pgSz w:w="16838" w:h="11906" w:orient="landscape"/>
          <w:pgMar w:top="1800" w:right="1440" w:bottom="1800" w:left="1440" w:header="851" w:footer="992" w:gutter="0"/>
          <w:cols w:space="720" w:num="1"/>
          <w:docGrid w:type="lines" w:linePitch="312" w:charSpace="0"/>
        </w:sectPr>
      </w:pPr>
      <w:r>
        <w:rPr>
          <w:rFonts w:hint="eastAsia" w:ascii="宋体" w:hAnsi="宋体" w:eastAsia="宋体" w:cs="宋体"/>
          <w:b/>
          <w:kern w:val="2"/>
          <w:sz w:val="28"/>
          <w:szCs w:val="28"/>
          <w:lang w:val="en-US" w:eastAsia="zh-CN" w:bidi="ar-SA"/>
        </w:rPr>
        <w:t>注：报价中应包含家具、运输费、辅材费、安装人工费、调试费、管理费、税金等间接费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G Times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8020941"/>
    <w:multiLevelType w:val="multilevel"/>
    <w:tmpl w:val="28020941"/>
    <w:lvl w:ilvl="0" w:tentative="0">
      <w:start w:val="1"/>
      <w:numFmt w:val="chineseCountingThousand"/>
      <w:suff w:val="nothing"/>
      <w:lvlText w:val="第%1部分"/>
      <w:lvlJc w:val="left"/>
      <w:pPr>
        <w:ind w:left="7372"/>
      </w:pPr>
      <w:rPr>
        <w:rFonts w:cs="Times New Roman"/>
      </w:rPr>
    </w:lvl>
    <w:lvl w:ilvl="1" w:tentative="0">
      <w:start w:val="1"/>
      <w:numFmt w:val="upperLetter"/>
      <w:pStyle w:val="3"/>
      <w:suff w:val="nothing"/>
      <w:lvlText w:val="%2"/>
      <w:lvlJc w:val="left"/>
      <w:pPr>
        <w:ind w:left="4516"/>
      </w:pPr>
      <w:rPr>
        <w:rFonts w:cs="Times New Roman"/>
      </w:rPr>
    </w:lvl>
    <w:lvl w:ilvl="2" w:tentative="0">
      <w:start w:val="1"/>
      <w:numFmt w:val="decimal"/>
      <w:lvlRestart w:val="0"/>
      <w:suff w:val="nothing"/>
      <w:lvlText w:val="%3"/>
      <w:lvlJc w:val="left"/>
      <w:pPr>
        <w:ind w:left="4516"/>
      </w:pPr>
      <w:rPr>
        <w:rFonts w:hint="eastAsia" w:ascii="宋体" w:eastAsia="宋体" w:cs="Times New Roman"/>
        <w:b/>
        <w:i w:val="0"/>
        <w:sz w:val="28"/>
      </w:rPr>
    </w:lvl>
    <w:lvl w:ilvl="3" w:tentative="0">
      <w:start w:val="1"/>
      <w:numFmt w:val="none"/>
      <w:suff w:val="nothing"/>
      <w:lvlText w:val=""/>
      <w:lvlJc w:val="left"/>
      <w:pPr>
        <w:ind w:left="4516"/>
      </w:pPr>
      <w:rPr>
        <w:rFonts w:hint="eastAsia" w:cs="Times New Roman"/>
      </w:rPr>
    </w:lvl>
    <w:lvl w:ilvl="4" w:tentative="0">
      <w:start w:val="1"/>
      <w:numFmt w:val="none"/>
      <w:suff w:val="nothing"/>
      <w:lvlText w:val=""/>
      <w:lvlJc w:val="left"/>
      <w:pPr>
        <w:ind w:left="4516"/>
      </w:pPr>
      <w:rPr>
        <w:rFonts w:hint="eastAsia" w:cs="Times New Roman"/>
      </w:rPr>
    </w:lvl>
    <w:lvl w:ilvl="5" w:tentative="0">
      <w:start w:val="1"/>
      <w:numFmt w:val="none"/>
      <w:suff w:val="nothing"/>
      <w:lvlText w:val=""/>
      <w:lvlJc w:val="left"/>
      <w:pPr>
        <w:ind w:left="4516"/>
      </w:pPr>
      <w:rPr>
        <w:rFonts w:hint="eastAsia" w:cs="Times New Roman"/>
      </w:rPr>
    </w:lvl>
    <w:lvl w:ilvl="6" w:tentative="0">
      <w:start w:val="1"/>
      <w:numFmt w:val="none"/>
      <w:suff w:val="nothing"/>
      <w:lvlText w:val=""/>
      <w:lvlJc w:val="left"/>
      <w:pPr>
        <w:ind w:left="4516"/>
      </w:pPr>
      <w:rPr>
        <w:rFonts w:hint="eastAsia" w:cs="Times New Roman"/>
      </w:rPr>
    </w:lvl>
    <w:lvl w:ilvl="7" w:tentative="0">
      <w:start w:val="1"/>
      <w:numFmt w:val="none"/>
      <w:suff w:val="nothing"/>
      <w:lvlText w:val=""/>
      <w:lvlJc w:val="left"/>
      <w:pPr>
        <w:ind w:left="4516"/>
      </w:pPr>
      <w:rPr>
        <w:rFonts w:hint="eastAsia" w:cs="Times New Roman"/>
      </w:rPr>
    </w:lvl>
    <w:lvl w:ilvl="8" w:tentative="0">
      <w:start w:val="1"/>
      <w:numFmt w:val="none"/>
      <w:suff w:val="nothing"/>
      <w:lvlText w:val=""/>
      <w:lvlJc w:val="left"/>
      <w:pPr>
        <w:ind w:left="4516"/>
      </w:pPr>
      <w:rPr>
        <w:rFonts w:hint="eastAsia"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MxZTg4ODIwN2RlOTlmZTUzMDFlNWMzMjhhMjFlNjcifQ=="/>
  </w:docVars>
  <w:rsids>
    <w:rsidRoot w:val="3781020A"/>
    <w:rsid w:val="3781020A"/>
    <w:rsid w:val="76135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rFonts w:eastAsia="宋体"/>
      <w:b/>
      <w:kern w:val="44"/>
      <w:sz w:val="44"/>
    </w:rPr>
  </w:style>
  <w:style w:type="paragraph" w:styleId="3">
    <w:name w:val="heading 2"/>
    <w:basedOn w:val="1"/>
    <w:next w:val="1"/>
    <w:qFormat/>
    <w:uiPriority w:val="99"/>
    <w:pPr>
      <w:keepNext/>
      <w:keepLines/>
      <w:numPr>
        <w:ilvl w:val="1"/>
        <w:numId w:val="1"/>
      </w:numPr>
      <w:spacing w:before="260" w:after="260" w:line="415" w:lineRule="auto"/>
      <w:jc w:val="center"/>
      <w:outlineLvl w:val="1"/>
    </w:pPr>
    <w:rPr>
      <w:rFonts w:ascii="CG Times" w:hAnsi="CG Times"/>
      <w:b/>
      <w:sz w:val="30"/>
      <w:szCs w:val="20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1104</Words>
  <Characters>1260</Characters>
  <Lines>0</Lines>
  <Paragraphs>0</Paragraphs>
  <TotalTime>3</TotalTime>
  <ScaleCrop>false</ScaleCrop>
  <LinksUpToDate>false</LinksUpToDate>
  <CharactersWithSpaces>1403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2023-07-17T07:58:00Z</dcterms:created>
  <dc:creator>一米阳光</dc:creator>
  <cp:lastModifiedBy>一米阳光</cp:lastModifiedBy>
  <dcterms:modified xsi:type="dcterms:W3CDTF">2023-07-17T08:20:54Z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CAD39D7F1A6145B9A84D22E9FE907DA9_11</vt:lpwstr>
  </property>
</Properties>
</file>