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江西省科学技术馆地下车库维修车间及除湿机配电改造项目报价函</w:t>
      </w:r>
    </w:p>
    <w:bookmarkEnd w:id="0"/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360" w:lineRule="auto"/>
        <w:ind w:firstLine="480" w:firstLine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已进行现场勘察，</w:t>
      </w:r>
      <w:r>
        <w:rPr>
          <w:rFonts w:hint="eastAsia" w:ascii="仿宋" w:hAnsi="仿宋" w:eastAsia="仿宋" w:cs="仿宋"/>
          <w:sz w:val="32"/>
          <w:szCs w:val="32"/>
        </w:rPr>
        <w:t>拟就“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江西省科学技术馆地下车库维修车间及除湿机配电改造项目</w:t>
      </w:r>
      <w:r>
        <w:rPr>
          <w:rFonts w:hint="eastAsia" w:ascii="仿宋" w:hAnsi="仿宋" w:eastAsia="仿宋" w:cs="仿宋"/>
          <w:sz w:val="32"/>
          <w:szCs w:val="32"/>
        </w:rPr>
        <w:t>”进行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改造</w:t>
      </w:r>
      <w:r>
        <w:rPr>
          <w:rFonts w:hint="eastAsia" w:ascii="仿宋" w:hAnsi="仿宋" w:eastAsia="仿宋" w:cs="仿宋"/>
          <w:sz w:val="32"/>
          <w:szCs w:val="32"/>
        </w:rPr>
        <w:t>报价，按附件中的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进行报价（含税、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改造</w:t>
      </w:r>
      <w:r>
        <w:rPr>
          <w:rFonts w:hint="eastAsia" w:ascii="仿宋" w:hAnsi="仿宋" w:eastAsia="仿宋" w:cs="仿宋"/>
          <w:sz w:val="32"/>
          <w:szCs w:val="32"/>
        </w:rPr>
        <w:t>的报价格式详见附件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），报价格式如下：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</w:t>
      </w:r>
    </w:p>
    <w:p>
      <w:pPr>
        <w:ind w:firstLine="640" w:firstLineChars="200"/>
        <w:rPr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z w:val="32"/>
          <w:szCs w:val="32"/>
        </w:rPr>
        <w:t xml:space="preserve">                 </w:t>
      </w:r>
    </w:p>
    <w:p>
      <w:pPr>
        <w:pStyle w:val="3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jc w:val="right"/>
        <w:rPr>
          <w:rFonts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>XXXXX</w:t>
      </w: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left"/>
        <w:outlineLvl w:val="1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left"/>
        <w:outlineLvl w:val="1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left"/>
        <w:outlineLvl w:val="1"/>
        <w:rPr>
          <w:rFonts w:ascii="宋体" w:hAnsi="CG Times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附件</w:t>
      </w:r>
      <w:r>
        <w:rPr>
          <w:rFonts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1</w:t>
      </w: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center"/>
        <w:outlineLvl w:val="1"/>
        <w:rPr>
          <w:rFonts w:ascii="宋体" w:hAnsi="CG Times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报价一览表（格式可自拟）</w:t>
      </w:r>
    </w:p>
    <w:p>
      <w:pPr>
        <w:spacing w:line="360" w:lineRule="auto"/>
        <w:jc w:val="left"/>
        <w:rPr>
          <w:rFonts w:asci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名称：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</w:p>
    <w:tbl>
      <w:tblPr>
        <w:tblStyle w:val="4"/>
        <w:tblW w:w="91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020"/>
        <w:gridCol w:w="33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308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总报价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（元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2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江西省科学技术馆地下车库维修车间及除湿机配电改造项目</w:t>
            </w:r>
          </w:p>
        </w:tc>
        <w:tc>
          <w:tcPr>
            <w:tcW w:w="3308" w:type="dxa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宋体" w:eastAsia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beforeLines="100" w:afterLines="100" w:line="360" w:lineRule="auto"/>
        <w:rPr>
          <w:rFonts w:asci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名称（盖章）：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法人或授权代表（签字）：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</w:t>
      </w: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tbl>
      <w:tblPr>
        <w:tblStyle w:val="4"/>
        <w:tblpPr w:leftFromText="180" w:rightFromText="180" w:vertAnchor="text" w:horzAnchor="page" w:tblpX="586" w:tblpY="301"/>
        <w:tblOverlap w:val="never"/>
        <w:tblW w:w="10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398"/>
        <w:gridCol w:w="3278"/>
        <w:gridCol w:w="842"/>
        <w:gridCol w:w="862"/>
        <w:gridCol w:w="1584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215265</wp:posOffset>
                  </wp:positionV>
                  <wp:extent cx="62865" cy="0"/>
                  <wp:effectExtent l="0" t="0" r="0" b="0"/>
                  <wp:wrapNone/>
                  <wp:docPr id="1" name="Line_2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2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215265</wp:posOffset>
                  </wp:positionV>
                  <wp:extent cx="62865" cy="0"/>
                  <wp:effectExtent l="0" t="0" r="0" b="0"/>
                  <wp:wrapNone/>
                  <wp:docPr id="2" name="Line_2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2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215265</wp:posOffset>
                  </wp:positionV>
                  <wp:extent cx="62865" cy="0"/>
                  <wp:effectExtent l="0" t="0" r="0" b="0"/>
                  <wp:wrapNone/>
                  <wp:docPr id="3" name="Line_2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2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安装工程报价明细表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02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WDZN-YJV4*150+1*70</w:t>
            </w: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赣昌牌低压铜电缆，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WDZN-YJV4*70+1*35</w:t>
            </w: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赣昌牌低压铜电缆，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WDZN-YJV4*95+1*50</w:t>
            </w: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赣昌牌低压铜电缆，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WDZN-YJV5*6</w:t>
            </w: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赣昌牌低压铜电缆，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456.0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配电箱1</w:t>
            </w: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配电箱2</w:t>
            </w: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配电箱3</w:t>
            </w: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配电箱4</w:t>
            </w: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桥架100*100</w:t>
            </w: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厚度1.5mm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JDG管DN40</w:t>
            </w: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厚度1.6mm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税费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widowControl/>
        <w:ind w:left="-1280" w:leftChars="-400" w:right="-1293" w:rightChars="-404" w:firstLine="0" w:firstLineChars="0"/>
        <w:jc w:val="left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注：1.报价中应包含设备、材料主材、辅材费、安装人工费、调试费、管理费、税金等间接费。</w:t>
      </w:r>
    </w:p>
    <w:p>
      <w:pPr>
        <w:widowControl/>
        <w:ind w:left="-1280" w:leftChars="-400" w:right="-1293" w:rightChars="-404" w:firstLine="562" w:firstLineChars="200"/>
        <w:jc w:val="left"/>
        <w:rPr>
          <w:rFonts w:hint="default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2.报价中应含原有桥架盖板拆、装费，墙面开洞及修复等费用。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87A74"/>
    <w:multiLevelType w:val="singleLevel"/>
    <w:tmpl w:val="BB287A7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/>
      </w:pPr>
      <w:rPr>
        <w:rFonts w:cs="Times New Roman"/>
      </w:rPr>
    </w:lvl>
    <w:lvl w:ilvl="1" w:tentative="0">
      <w:start w:val="1"/>
      <w:numFmt w:val="upperLetter"/>
      <w:pStyle w:val="3"/>
      <w:suff w:val="nothing"/>
      <w:lvlText w:val="%2"/>
      <w:lvlJc w:val="left"/>
      <w:pPr>
        <w:ind w:left="4516"/>
      </w:pPr>
      <w:rPr>
        <w:rFonts w:cs="Times New Roman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/>
      </w:pPr>
      <w:rPr>
        <w:rFonts w:hint="eastAsia" w:ascii="宋体" w:eastAsia="宋体" w:cs="Times New Roman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03434216"/>
    <w:rsid w:val="0343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426</Words>
  <Characters>538</Characters>
  <Lines>0</Lines>
  <Paragraphs>0</Paragraphs>
  <TotalTime>0</TotalTime>
  <ScaleCrop>false</ScaleCrop>
  <LinksUpToDate>false</LinksUpToDate>
  <CharactersWithSpaces>684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2023-06-20T03:00:00Z</dcterms:created>
  <dc:creator>一米阳光</dc:creator>
  <cp:lastModifiedBy>一米阳光</cp:lastModifiedBy>
  <dcterms:modified xsi:type="dcterms:W3CDTF">2023-06-20T03:00:17Z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5BFEBEC8DA8B40C998C0822DEC5ECC9D_11</vt:lpwstr>
  </property>
</Properties>
</file>