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pPr>
      <w:bookmarkStart w:id="0" w:name="_GoBack"/>
      <w:r>
        <w:rPr>
          <w:rFonts w:hint="eastAsia"/>
        </w:rPr>
        <w:t>江西省科学技术馆（江西省青少年科技中心）电梯维保项目的报价函</w:t>
      </w:r>
    </w:p>
    <w:bookmarkEnd w:id="0"/>
    <w:p>
      <w:pPr>
        <w:spacing w:line="360" w:lineRule="auto"/>
        <w:jc w:val="left"/>
        <w:rPr>
          <w:rFonts w:ascii="仿宋" w:hAnsi="仿宋" w:eastAsia="仿宋" w:cs="仿宋"/>
          <w:sz w:val="32"/>
          <w:szCs w:val="32"/>
        </w:rPr>
      </w:pPr>
      <w:r>
        <w:rPr>
          <w:rFonts w:hint="eastAsia" w:ascii="仿宋" w:hAnsi="仿宋" w:eastAsia="仿宋" w:cs="仿宋"/>
          <w:bCs/>
          <w:color w:val="000000"/>
          <w:sz w:val="32"/>
          <w:szCs w:val="32"/>
        </w:rPr>
        <w:t>江西省科学技术馆</w:t>
      </w:r>
      <w:r>
        <w:rPr>
          <w:rFonts w:hint="eastAsia" w:ascii="仿宋" w:hAnsi="仿宋" w:eastAsia="仿宋" w:cs="仿宋"/>
          <w:sz w:val="32"/>
          <w:szCs w:val="32"/>
        </w:rPr>
        <w:t>：</w:t>
      </w:r>
    </w:p>
    <w:p>
      <w:pPr>
        <w:spacing w:line="360" w:lineRule="auto"/>
        <w:ind w:firstLine="480" w:firstLineChars="150"/>
        <w:jc w:val="left"/>
        <w:rPr>
          <w:rFonts w:ascii="仿宋" w:hAnsi="仿宋" w:eastAsia="仿宋" w:cs="仿宋"/>
          <w:sz w:val="32"/>
          <w:szCs w:val="32"/>
        </w:rPr>
      </w:pPr>
      <w:r>
        <w:rPr>
          <w:rFonts w:hint="eastAsia" w:ascii="仿宋" w:hAnsi="仿宋" w:eastAsia="仿宋" w:cs="仿宋"/>
          <w:sz w:val="32"/>
          <w:szCs w:val="32"/>
        </w:rPr>
        <w:t>我单位拟就“江西省科学技术馆（江西省青少年科技中心）电梯维保项目”进行报价，按附件中的需求进行报价（含税、安装的报价格式详见附件</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），报价格式如下：</w:t>
      </w:r>
    </w:p>
    <w:p>
      <w:pPr>
        <w:ind w:firstLine="640" w:firstLineChars="200"/>
        <w:rPr>
          <w:rFonts w:ascii="仿宋" w:hAnsi="仿宋" w:eastAsia="仿宋" w:cs="仿宋"/>
          <w:sz w:val="32"/>
          <w:szCs w:val="32"/>
          <w:u w:val="single"/>
        </w:rPr>
      </w:pPr>
      <w:r>
        <w:rPr>
          <w:rFonts w:hint="eastAsia" w:ascii="仿宋" w:hAnsi="仿宋" w:eastAsia="仿宋" w:cs="仿宋"/>
          <w:sz w:val="32"/>
          <w:szCs w:val="32"/>
        </w:rPr>
        <w:t>联系人：</w:t>
      </w:r>
      <w:r>
        <w:rPr>
          <w:rFonts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u w:val="single"/>
        </w:rPr>
        <w:t xml:space="preserve">                     </w:t>
      </w:r>
      <w:r>
        <w:rPr>
          <w:rFonts w:ascii="仿宋" w:hAnsi="仿宋" w:eastAsia="仿宋" w:cs="仿宋"/>
          <w:sz w:val="32"/>
          <w:szCs w:val="32"/>
        </w:rPr>
        <w:t xml:space="preserve">                 </w:t>
      </w:r>
    </w:p>
    <w:p>
      <w:pPr>
        <w:rPr>
          <w:rFonts w:ascii="仿宋" w:hAnsi="仿宋" w:eastAsia="仿宋" w:cs="仿宋"/>
          <w:sz w:val="32"/>
          <w:szCs w:val="32"/>
        </w:rPr>
      </w:pPr>
    </w:p>
    <w:p>
      <w:pPr>
        <w:pStyle w:val="4"/>
        <w:numPr>
          <w:ilvl w:val="0"/>
          <w:numId w:val="0"/>
        </w:numPr>
        <w:rPr>
          <w:rFonts w:ascii="仿宋" w:hAnsi="仿宋" w:eastAsia="仿宋" w:cs="仿宋"/>
          <w:color w:val="000000"/>
          <w:sz w:val="32"/>
          <w:szCs w:val="32"/>
        </w:rPr>
      </w:pPr>
    </w:p>
    <w:p>
      <w:pPr>
        <w:pStyle w:val="4"/>
        <w:numPr>
          <w:ilvl w:val="0"/>
          <w:numId w:val="0"/>
        </w:numPr>
        <w:rPr>
          <w:rFonts w:ascii="仿宋" w:hAnsi="仿宋" w:eastAsia="仿宋" w:cs="仿宋"/>
          <w:color w:val="000000"/>
          <w:sz w:val="32"/>
          <w:szCs w:val="32"/>
        </w:rPr>
      </w:pPr>
    </w:p>
    <w:p>
      <w:pPr>
        <w:pStyle w:val="4"/>
        <w:numPr>
          <w:ilvl w:val="0"/>
          <w:numId w:val="0"/>
        </w:numPr>
        <w:jc w:val="right"/>
        <w:rPr>
          <w:rFonts w:ascii="仿宋" w:hAnsi="仿宋" w:eastAsia="仿宋" w:cs="仿宋"/>
          <w:b w:val="0"/>
          <w:bCs/>
          <w:color w:val="000000"/>
          <w:sz w:val="32"/>
          <w:szCs w:val="32"/>
        </w:rPr>
      </w:pPr>
      <w:r>
        <w:rPr>
          <w:rFonts w:ascii="仿宋" w:hAnsi="仿宋" w:eastAsia="仿宋" w:cs="仿宋"/>
          <w:b w:val="0"/>
          <w:bCs/>
          <w:color w:val="000000"/>
          <w:sz w:val="32"/>
          <w:szCs w:val="32"/>
        </w:rPr>
        <w:t>XXXXX</w:t>
      </w:r>
    </w:p>
    <w:p>
      <w:pPr>
        <w:pStyle w:val="4"/>
        <w:numPr>
          <w:ilvl w:val="0"/>
          <w:numId w:val="0"/>
        </w:numPr>
        <w:jc w:val="right"/>
        <w:rPr>
          <w:rFonts w:ascii="仿宋" w:hAnsi="仿宋" w:eastAsia="仿宋" w:cs="仿宋"/>
          <w:sz w:val="32"/>
          <w:szCs w:val="32"/>
        </w:rPr>
      </w:pPr>
      <w:r>
        <w:rPr>
          <w:rFonts w:hint="eastAsia" w:ascii="仿宋" w:hAnsi="仿宋" w:eastAsia="仿宋" w:cs="仿宋"/>
          <w:b w:val="0"/>
          <w:bCs/>
          <w:color w:val="000000"/>
          <w:sz w:val="32"/>
          <w:szCs w:val="32"/>
        </w:rPr>
        <w:t>年</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月</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日</w:t>
      </w:r>
    </w:p>
    <w:p>
      <w:pPr>
        <w:tabs>
          <w:tab w:val="left" w:pos="3366"/>
        </w:tabs>
      </w:pPr>
      <w:r>
        <w:tab/>
      </w:r>
    </w:p>
    <w:p>
      <w:pPr>
        <w:pStyle w:val="4"/>
        <w:numPr>
          <w:ilvl w:val="0"/>
          <w:numId w:val="0"/>
        </w:numPr>
        <w:jc w:val="both"/>
        <w:rPr>
          <w:rFonts w:ascii="宋体" w:cs="宋体"/>
          <w:color w:val="000000"/>
          <w:sz w:val="28"/>
          <w:szCs w:val="28"/>
        </w:rPr>
      </w:pPr>
    </w:p>
    <w:p/>
    <w:p>
      <w:pPr>
        <w:pStyle w:val="4"/>
        <w:numPr>
          <w:ilvl w:val="0"/>
          <w:numId w:val="0"/>
        </w:numPr>
        <w:jc w:val="left"/>
        <w:rPr>
          <w:rFonts w:ascii="宋体" w:cs="宋体"/>
          <w:color w:val="000000"/>
          <w:sz w:val="28"/>
          <w:szCs w:val="28"/>
        </w:rPr>
      </w:pPr>
    </w:p>
    <w:p>
      <w:pPr>
        <w:pStyle w:val="4"/>
        <w:numPr>
          <w:ilvl w:val="0"/>
          <w:numId w:val="0"/>
        </w:numPr>
        <w:jc w:val="left"/>
        <w:rPr>
          <w:rFonts w:ascii="宋体" w:cs="宋体"/>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1</w:t>
      </w:r>
    </w:p>
    <w:p>
      <w:pPr>
        <w:pStyle w:val="4"/>
        <w:numPr>
          <w:ilvl w:val="0"/>
          <w:numId w:val="0"/>
        </w:numPr>
        <w:rPr>
          <w:rFonts w:ascii="宋体" w:cs="宋体"/>
          <w:color w:val="000000"/>
          <w:sz w:val="28"/>
          <w:szCs w:val="28"/>
        </w:rPr>
      </w:pPr>
      <w:r>
        <w:rPr>
          <w:rFonts w:hint="eastAsia" w:ascii="宋体" w:hAnsi="宋体" w:cs="宋体"/>
          <w:color w:val="000000"/>
          <w:sz w:val="28"/>
          <w:szCs w:val="28"/>
        </w:rPr>
        <w:t>报价一览表（格式可自拟）</w:t>
      </w:r>
    </w:p>
    <w:p>
      <w:pPr>
        <w:spacing w:line="360" w:lineRule="auto"/>
        <w:jc w:val="left"/>
        <w:rPr>
          <w:rFonts w:ascii="宋体" w:cs="宋体"/>
          <w:color w:val="000000"/>
          <w:sz w:val="24"/>
          <w:szCs w:val="24"/>
        </w:rPr>
      </w:pPr>
      <w:r>
        <w:rPr>
          <w:rFonts w:hint="eastAsia" w:ascii="宋体" w:hAnsi="宋体" w:cs="宋体"/>
          <w:color w:val="000000"/>
          <w:sz w:val="24"/>
          <w:szCs w:val="24"/>
        </w:rPr>
        <w:t>供应商名称：</w:t>
      </w:r>
      <w:r>
        <w:rPr>
          <w:rFonts w:ascii="宋体" w:hAnsi="宋体" w:cs="宋体"/>
          <w:color w:val="000000"/>
          <w:sz w:val="24"/>
          <w:szCs w:val="24"/>
          <w:u w:val="single"/>
        </w:rPr>
        <w:t xml:space="preserve">                </w:t>
      </w:r>
      <w:r>
        <w:rPr>
          <w:rFonts w:ascii="宋体" w:hAnsi="宋体" w:cs="宋体"/>
          <w:color w:val="000000"/>
          <w:sz w:val="24"/>
          <w:szCs w:val="24"/>
        </w:rPr>
        <w:t xml:space="preserve"> </w:t>
      </w:r>
    </w:p>
    <w:tbl>
      <w:tblPr>
        <w:tblStyle w:val="8"/>
        <w:tblW w:w="9140" w:type="dxa"/>
        <w:tblInd w:w="-7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5020"/>
        <w:gridCol w:w="33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top w:val="single" w:color="auto" w:sz="8" w:space="0"/>
              <w:left w:val="single" w:color="auto" w:sz="4" w:space="0"/>
            </w:tcBorders>
            <w:vAlign w:val="center"/>
          </w:tcPr>
          <w:p>
            <w:pPr>
              <w:spacing w:line="360" w:lineRule="auto"/>
              <w:jc w:val="center"/>
              <w:rPr>
                <w:rFonts w:ascii="宋体" w:cs="宋体"/>
                <w:color w:val="000000"/>
                <w:sz w:val="24"/>
                <w:szCs w:val="24"/>
              </w:rPr>
            </w:pPr>
            <w:r>
              <w:rPr>
                <w:rFonts w:hint="eastAsia" w:ascii="宋体" w:hAnsi="宋体" w:cs="宋体"/>
                <w:color w:val="000000"/>
                <w:sz w:val="24"/>
                <w:szCs w:val="24"/>
              </w:rPr>
              <w:t>序号</w:t>
            </w:r>
          </w:p>
        </w:tc>
        <w:tc>
          <w:tcPr>
            <w:tcW w:w="5020" w:type="dxa"/>
            <w:tcBorders>
              <w:top w:val="single" w:color="auto" w:sz="8" w:space="0"/>
            </w:tcBorders>
            <w:vAlign w:val="center"/>
          </w:tcPr>
          <w:p>
            <w:pPr>
              <w:spacing w:line="360" w:lineRule="auto"/>
              <w:jc w:val="center"/>
              <w:rPr>
                <w:rFonts w:ascii="宋体" w:cs="宋体"/>
                <w:color w:val="000000"/>
                <w:sz w:val="24"/>
                <w:szCs w:val="24"/>
              </w:rPr>
            </w:pPr>
            <w:r>
              <w:rPr>
                <w:rFonts w:hint="eastAsia" w:ascii="宋体" w:hAnsi="宋体" w:cs="宋体"/>
                <w:color w:val="000000"/>
                <w:sz w:val="24"/>
                <w:szCs w:val="24"/>
              </w:rPr>
              <w:t>项目名称</w:t>
            </w:r>
          </w:p>
        </w:tc>
        <w:tc>
          <w:tcPr>
            <w:tcW w:w="3308" w:type="dxa"/>
            <w:tcBorders>
              <w:top w:val="single" w:color="auto" w:sz="8"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总价（元</w:t>
            </w:r>
            <w:r>
              <w:rPr>
                <w:rFonts w:ascii="宋体" w:hAnsi="宋体" w:cs="宋体"/>
                <w:color w:val="00000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left w:val="single" w:color="auto" w:sz="4" w:space="0"/>
              <w:bottom w:val="single" w:color="auto" w:sz="8" w:space="0"/>
            </w:tcBorders>
            <w:vAlign w:val="center"/>
          </w:tcPr>
          <w:p>
            <w:pPr>
              <w:spacing w:line="360" w:lineRule="auto"/>
              <w:jc w:val="center"/>
              <w:rPr>
                <w:rFonts w:ascii="宋体" w:hAnsi="宋体" w:cs="宋体"/>
                <w:color w:val="000000"/>
                <w:sz w:val="24"/>
                <w:szCs w:val="24"/>
              </w:rPr>
            </w:pPr>
            <w:r>
              <w:rPr>
                <w:rFonts w:ascii="宋体" w:hAnsi="宋体" w:cs="宋体"/>
                <w:color w:val="000000"/>
                <w:sz w:val="24"/>
                <w:szCs w:val="24"/>
              </w:rPr>
              <w:t>1</w:t>
            </w:r>
          </w:p>
        </w:tc>
        <w:tc>
          <w:tcPr>
            <w:tcW w:w="5020" w:type="dxa"/>
            <w:tcBorders>
              <w:bottom w:val="single" w:color="auto" w:sz="8" w:space="0"/>
            </w:tcBorders>
            <w:vAlign w:val="center"/>
          </w:tcPr>
          <w:p>
            <w:pPr>
              <w:spacing w:line="360" w:lineRule="auto"/>
              <w:jc w:val="left"/>
              <w:rPr>
                <w:rFonts w:ascii="宋体" w:cs="宋体"/>
                <w:color w:val="000000"/>
                <w:sz w:val="24"/>
                <w:szCs w:val="24"/>
              </w:rPr>
            </w:pPr>
            <w:r>
              <w:rPr>
                <w:rFonts w:hint="eastAsia" w:ascii="宋体" w:hAnsi="宋体" w:cs="宋体"/>
                <w:color w:val="000000"/>
                <w:sz w:val="24"/>
                <w:szCs w:val="24"/>
              </w:rPr>
              <w:t>江西省科学技术馆</w:t>
            </w:r>
          </w:p>
          <w:p>
            <w:pPr>
              <w:spacing w:line="360" w:lineRule="auto"/>
              <w:jc w:val="left"/>
              <w:rPr>
                <w:rFonts w:ascii="宋体" w:cs="宋体"/>
                <w:color w:val="000000"/>
                <w:sz w:val="24"/>
                <w:szCs w:val="24"/>
              </w:rPr>
            </w:pPr>
            <w:r>
              <w:rPr>
                <w:rFonts w:hint="eastAsia" w:ascii="宋体" w:hAnsi="宋体" w:cs="宋体"/>
                <w:color w:val="000000"/>
                <w:sz w:val="24"/>
                <w:szCs w:val="24"/>
              </w:rPr>
              <w:t>（江西省青少年科技中心）电梯维保项目</w:t>
            </w:r>
          </w:p>
        </w:tc>
        <w:tc>
          <w:tcPr>
            <w:tcW w:w="3308" w:type="dxa"/>
            <w:tcBorders>
              <w:bottom w:val="single" w:color="auto" w:sz="8" w:space="0"/>
              <w:right w:val="single" w:color="auto" w:sz="4" w:space="0"/>
            </w:tcBorders>
            <w:vAlign w:val="center"/>
          </w:tcPr>
          <w:p>
            <w:pPr>
              <w:spacing w:line="360" w:lineRule="auto"/>
              <w:jc w:val="center"/>
              <w:rPr>
                <w:rFonts w:ascii="宋体" w:cs="宋体"/>
                <w:color w:val="000000"/>
                <w:sz w:val="24"/>
                <w:szCs w:val="24"/>
              </w:rPr>
            </w:pPr>
          </w:p>
        </w:tc>
      </w:tr>
    </w:tbl>
    <w:p>
      <w:pPr>
        <w:autoSpaceDE w:val="0"/>
        <w:autoSpaceDN w:val="0"/>
        <w:adjustRightInd w:val="0"/>
        <w:spacing w:line="360" w:lineRule="auto"/>
        <w:rPr>
          <w:rFonts w:ascii="宋体" w:cs="宋体"/>
          <w:color w:val="000000"/>
          <w:kern w:val="0"/>
          <w:sz w:val="24"/>
          <w:szCs w:val="24"/>
        </w:rPr>
      </w:pPr>
    </w:p>
    <w:p>
      <w:pPr>
        <w:autoSpaceDE w:val="0"/>
        <w:autoSpaceDN w:val="0"/>
        <w:adjustRightInd w:val="0"/>
        <w:spacing w:beforeLines="100" w:afterLines="100" w:line="360" w:lineRule="auto"/>
        <w:rPr>
          <w:rFonts w:ascii="宋体" w:cs="宋体"/>
          <w:color w:val="000000"/>
          <w:kern w:val="0"/>
          <w:sz w:val="24"/>
          <w:szCs w:val="24"/>
          <w:u w:val="single"/>
        </w:rPr>
      </w:pPr>
      <w:r>
        <w:rPr>
          <w:rFonts w:hint="eastAsia" w:ascii="宋体" w:hAnsi="宋体" w:cs="宋体"/>
          <w:color w:val="000000"/>
          <w:kern w:val="0"/>
          <w:sz w:val="24"/>
          <w:szCs w:val="24"/>
        </w:rPr>
        <w:t>供应商名称（盖章）：</w:t>
      </w:r>
      <w:r>
        <w:rPr>
          <w:rFonts w:ascii="宋体" w:hAnsi="宋体" w:cs="宋体"/>
          <w:color w:val="000000"/>
          <w:kern w:val="0"/>
          <w:sz w:val="24"/>
          <w:szCs w:val="24"/>
          <w:u w:val="single"/>
        </w:rPr>
        <w:t xml:space="preserve">                            </w:t>
      </w:r>
    </w:p>
    <w:p>
      <w:pPr>
        <w:rPr>
          <w:rFonts w:ascii="宋体" w:cs="宋体"/>
          <w:sz w:val="28"/>
          <w:szCs w:val="28"/>
        </w:rPr>
      </w:pPr>
      <w:r>
        <w:rPr>
          <w:rFonts w:hint="eastAsia" w:ascii="宋体" w:hAnsi="宋体" w:cs="宋体"/>
          <w:color w:val="000000"/>
          <w:sz w:val="24"/>
          <w:szCs w:val="24"/>
        </w:rPr>
        <w:t>法人或授权代表（签字）：</w:t>
      </w:r>
      <w:r>
        <w:rPr>
          <w:rFonts w:ascii="宋体" w:hAnsi="宋体" w:cs="宋体"/>
          <w:color w:val="000000"/>
          <w:sz w:val="24"/>
          <w:szCs w:val="24"/>
          <w:u w:val="single"/>
        </w:rPr>
        <w:t xml:space="preserve">                         </w:t>
      </w:r>
    </w:p>
    <w:p>
      <w:pPr>
        <w:widowControl/>
        <w:jc w:val="left"/>
        <w:rPr>
          <w:rFonts w:ascii="宋体" w:cs="宋体"/>
          <w:b/>
          <w:sz w:val="28"/>
          <w:szCs w:val="28"/>
        </w:rPr>
      </w:pPr>
      <w:r>
        <w:rPr>
          <w:rFonts w:ascii="宋体" w:cs="宋体"/>
          <w:szCs w:val="28"/>
        </w:rPr>
        <w:br w:type="page"/>
      </w:r>
    </w:p>
    <w:p>
      <w:pPr>
        <w:pStyle w:val="5"/>
        <w:rPr>
          <w:rFonts w:ascii="宋体" w:cs="宋体"/>
          <w:szCs w:val="28"/>
        </w:rPr>
      </w:pPr>
      <w:r>
        <w:rPr>
          <w:rFonts w:hint="eastAsia" w:ascii="宋体" w:hAnsi="宋体" w:cs="宋体"/>
          <w:szCs w:val="28"/>
        </w:rPr>
        <w:t>附件</w:t>
      </w:r>
      <w:r>
        <w:rPr>
          <w:rFonts w:ascii="宋体" w:hAnsi="宋体" w:cs="宋体"/>
          <w:szCs w:val="28"/>
        </w:rPr>
        <w:t>2</w:t>
      </w:r>
    </w:p>
    <w:p>
      <w:pPr>
        <w:pStyle w:val="5"/>
        <w:jc w:val="center"/>
        <w:rPr>
          <w:rFonts w:ascii="宋体" w:cs="宋体"/>
          <w:sz w:val="44"/>
          <w:szCs w:val="44"/>
        </w:rPr>
      </w:pPr>
      <w:r>
        <w:rPr>
          <w:rFonts w:hint="eastAsia" w:ascii="宋体" w:hAnsi="宋体" w:cs="宋体"/>
          <w:sz w:val="44"/>
          <w:szCs w:val="44"/>
        </w:rPr>
        <w:t>电梯技术需求</w:t>
      </w:r>
    </w:p>
    <w:p>
      <w:pPr>
        <w:tabs>
          <w:tab w:val="left" w:pos="5220"/>
        </w:tabs>
        <w:spacing w:line="360" w:lineRule="auto"/>
        <w:ind w:right="126"/>
        <w:rPr>
          <w:rFonts w:ascii="仿宋" w:hAnsi="仿宋" w:eastAsia="仿宋" w:cs="仿宋"/>
          <w:bCs/>
          <w:color w:val="000000"/>
          <w:sz w:val="32"/>
          <w:szCs w:val="36"/>
        </w:rPr>
      </w:pPr>
      <w:r>
        <w:rPr>
          <w:rFonts w:ascii="仿宋" w:hAnsi="仿宋" w:eastAsia="仿宋" w:cs="仿宋"/>
          <w:sz w:val="32"/>
          <w:szCs w:val="36"/>
        </w:rPr>
        <w:t>1</w:t>
      </w:r>
      <w:r>
        <w:rPr>
          <w:rFonts w:hint="eastAsia" w:ascii="仿宋" w:hAnsi="仿宋" w:eastAsia="仿宋" w:cs="仿宋"/>
          <w:sz w:val="32"/>
          <w:szCs w:val="36"/>
        </w:rPr>
        <w:t>、</w:t>
      </w:r>
      <w:r>
        <w:rPr>
          <w:rFonts w:hint="eastAsia" w:ascii="仿宋" w:hAnsi="仿宋" w:eastAsia="仿宋" w:cs="仿宋"/>
          <w:bCs/>
          <w:sz w:val="32"/>
          <w:szCs w:val="36"/>
        </w:rPr>
        <w:t>按照国家质监总局</w:t>
      </w:r>
      <w:r>
        <w:rPr>
          <w:rFonts w:ascii="仿宋" w:hAnsi="仿宋" w:eastAsia="仿宋" w:cs="仿宋"/>
          <w:bCs/>
          <w:sz w:val="32"/>
          <w:szCs w:val="36"/>
        </w:rPr>
        <w:t>TSG T5002-2017</w:t>
      </w:r>
      <w:r>
        <w:rPr>
          <w:rFonts w:hint="eastAsia" w:ascii="仿宋" w:hAnsi="仿宋" w:eastAsia="仿宋" w:cs="仿宋"/>
          <w:bCs/>
          <w:sz w:val="32"/>
          <w:szCs w:val="36"/>
        </w:rPr>
        <w:t>《电梯维护保养规则》要求每年做</w:t>
      </w:r>
      <w:r>
        <w:rPr>
          <w:rFonts w:ascii="仿宋" w:hAnsi="仿宋" w:eastAsia="仿宋" w:cs="仿宋"/>
          <w:bCs/>
          <w:sz w:val="32"/>
          <w:szCs w:val="36"/>
        </w:rPr>
        <w:t>25</w:t>
      </w:r>
      <w:r>
        <w:rPr>
          <w:rFonts w:hint="eastAsia" w:ascii="仿宋" w:hAnsi="仿宋" w:eastAsia="仿宋" w:cs="仿宋"/>
          <w:bCs/>
          <w:sz w:val="32"/>
          <w:szCs w:val="36"/>
        </w:rPr>
        <w:t>次日常预防性保养</w:t>
      </w:r>
      <w:r>
        <w:rPr>
          <w:rFonts w:hint="eastAsia" w:ascii="仿宋" w:hAnsi="仿宋" w:eastAsia="仿宋" w:cs="仿宋"/>
          <w:bCs/>
          <w:color w:val="000000"/>
          <w:sz w:val="32"/>
          <w:szCs w:val="36"/>
        </w:rPr>
        <w:t>，在保养时排除电梯故障隐患，保证电梯正常安全平稳运行且并确保通过年检；</w:t>
      </w:r>
    </w:p>
    <w:p>
      <w:pPr>
        <w:spacing w:line="360" w:lineRule="auto"/>
        <w:rPr>
          <w:rFonts w:ascii="仿宋" w:hAnsi="仿宋" w:eastAsia="仿宋" w:cs="仿宋"/>
          <w:bCs/>
          <w:color w:val="000000"/>
          <w:sz w:val="32"/>
          <w:szCs w:val="36"/>
        </w:rPr>
      </w:pPr>
      <w:r>
        <w:rPr>
          <w:rFonts w:ascii="仿宋" w:hAnsi="仿宋" w:eastAsia="仿宋" w:cs="仿宋"/>
          <w:sz w:val="32"/>
          <w:szCs w:val="36"/>
        </w:rPr>
        <w:t>2</w:t>
      </w:r>
      <w:r>
        <w:rPr>
          <w:rFonts w:hint="eastAsia" w:ascii="仿宋" w:hAnsi="仿宋" w:eastAsia="仿宋" w:cs="仿宋"/>
          <w:sz w:val="32"/>
          <w:szCs w:val="36"/>
        </w:rPr>
        <w:t>、设有</w:t>
      </w:r>
      <w:r>
        <w:rPr>
          <w:rFonts w:ascii="仿宋" w:hAnsi="仿宋" w:eastAsia="仿宋" w:cs="仿宋"/>
          <w:sz w:val="32"/>
          <w:szCs w:val="36"/>
        </w:rPr>
        <w:t>365</w:t>
      </w:r>
      <w:r>
        <w:rPr>
          <w:rFonts w:hint="eastAsia" w:ascii="仿宋" w:hAnsi="仿宋" w:eastAsia="仿宋" w:cs="仿宋"/>
          <w:sz w:val="32"/>
          <w:szCs w:val="36"/>
        </w:rPr>
        <w:t>天</w:t>
      </w:r>
      <w:r>
        <w:rPr>
          <w:rFonts w:ascii="仿宋" w:hAnsi="仿宋" w:eastAsia="仿宋" w:cs="仿宋"/>
          <w:sz w:val="32"/>
          <w:szCs w:val="36"/>
        </w:rPr>
        <w:t>*24</w:t>
      </w:r>
      <w:r>
        <w:rPr>
          <w:rFonts w:hint="eastAsia" w:ascii="仿宋" w:hAnsi="仿宋" w:eastAsia="仿宋" w:cs="仿宋"/>
          <w:sz w:val="32"/>
          <w:szCs w:val="36"/>
        </w:rPr>
        <w:t>小时免费服务电话，能</w:t>
      </w:r>
      <w:r>
        <w:rPr>
          <w:rFonts w:hint="eastAsia" w:ascii="仿宋" w:hAnsi="仿宋" w:eastAsia="仿宋" w:cs="仿宋"/>
          <w:bCs/>
          <w:color w:val="000000"/>
          <w:sz w:val="32"/>
          <w:szCs w:val="36"/>
        </w:rPr>
        <w:t>及时响应维修服务，电梯一般故障</w:t>
      </w:r>
      <w:r>
        <w:rPr>
          <w:rFonts w:ascii="仿宋" w:hAnsi="仿宋" w:eastAsia="仿宋" w:cs="仿宋"/>
          <w:bCs/>
          <w:color w:val="000000"/>
          <w:sz w:val="32"/>
          <w:szCs w:val="36"/>
        </w:rPr>
        <w:t>60</w:t>
      </w:r>
      <w:r>
        <w:rPr>
          <w:rFonts w:hint="eastAsia" w:ascii="仿宋" w:hAnsi="仿宋" w:eastAsia="仿宋" w:cs="仿宋"/>
          <w:bCs/>
          <w:color w:val="000000"/>
          <w:sz w:val="32"/>
          <w:szCs w:val="36"/>
        </w:rPr>
        <w:t>分钟内赶至现场处理，关人情况下</w:t>
      </w:r>
      <w:r>
        <w:rPr>
          <w:rFonts w:ascii="仿宋" w:hAnsi="仿宋" w:eastAsia="仿宋" w:cs="仿宋"/>
          <w:bCs/>
          <w:color w:val="000000"/>
          <w:sz w:val="32"/>
          <w:szCs w:val="36"/>
        </w:rPr>
        <w:t>30</w:t>
      </w:r>
      <w:r>
        <w:rPr>
          <w:rFonts w:hint="eastAsia" w:ascii="仿宋" w:hAnsi="仿宋" w:eastAsia="仿宋" w:cs="仿宋"/>
          <w:bCs/>
          <w:color w:val="000000"/>
          <w:sz w:val="32"/>
          <w:szCs w:val="36"/>
        </w:rPr>
        <w:t>分钟到达现场。具备拥有电梯遥监系统，建立维保数据库，对电梯故障进行实时记录，可随时调取电梯保养及急修情况，并能对现场故障、保养情况做分析给出报告。</w:t>
      </w:r>
    </w:p>
    <w:p>
      <w:pPr>
        <w:tabs>
          <w:tab w:val="left" w:pos="5220"/>
        </w:tabs>
        <w:spacing w:line="360" w:lineRule="auto"/>
        <w:ind w:right="-46"/>
        <w:rPr>
          <w:rFonts w:ascii="仿宋" w:hAnsi="仿宋" w:eastAsia="仿宋" w:cs="仿宋"/>
          <w:bCs/>
          <w:color w:val="000000"/>
          <w:sz w:val="32"/>
          <w:szCs w:val="36"/>
        </w:rPr>
      </w:pPr>
      <w:r>
        <w:rPr>
          <w:rFonts w:ascii="仿宋" w:hAnsi="仿宋" w:eastAsia="仿宋" w:cs="仿宋"/>
          <w:sz w:val="32"/>
          <w:szCs w:val="36"/>
        </w:rPr>
        <w:t>3</w:t>
      </w:r>
      <w:r>
        <w:rPr>
          <w:rFonts w:hint="eastAsia" w:ascii="仿宋" w:hAnsi="仿宋" w:eastAsia="仿宋" w:cs="仿宋"/>
          <w:sz w:val="32"/>
          <w:szCs w:val="36"/>
        </w:rPr>
        <w:t>、</w:t>
      </w:r>
      <w:r>
        <w:rPr>
          <w:rFonts w:hint="eastAsia" w:ascii="仿宋" w:hAnsi="仿宋" w:eastAsia="仿宋" w:cs="仿宋"/>
          <w:bCs/>
          <w:color w:val="000000"/>
          <w:sz w:val="32"/>
          <w:szCs w:val="36"/>
        </w:rPr>
        <w:t>此报价为日常维护保养费用，若在合同期间，有备件损坏需要另外支付备件费用。</w:t>
      </w:r>
    </w:p>
    <w:p>
      <w:pPr>
        <w:spacing w:line="360" w:lineRule="auto"/>
        <w:rPr>
          <w:rFonts w:ascii="仿宋" w:hAnsi="仿宋" w:eastAsia="仿宋" w:cs="仿宋"/>
          <w:bCs/>
          <w:color w:val="000000"/>
          <w:sz w:val="32"/>
          <w:szCs w:val="36"/>
        </w:rPr>
      </w:pPr>
      <w:r>
        <w:rPr>
          <w:rFonts w:ascii="仿宋" w:hAnsi="仿宋" w:eastAsia="仿宋" w:cs="仿宋"/>
          <w:sz w:val="32"/>
          <w:szCs w:val="36"/>
        </w:rPr>
        <w:t>4</w:t>
      </w:r>
      <w:r>
        <w:rPr>
          <w:rFonts w:hint="eastAsia" w:ascii="仿宋" w:hAnsi="仿宋" w:eastAsia="仿宋" w:cs="仿宋"/>
          <w:sz w:val="32"/>
          <w:szCs w:val="36"/>
        </w:rPr>
        <w:t>、</w:t>
      </w:r>
      <w:r>
        <w:rPr>
          <w:rFonts w:hint="eastAsia" w:ascii="仿宋" w:hAnsi="仿宋" w:eastAsia="仿宋" w:cs="仿宋"/>
          <w:bCs/>
          <w:color w:val="000000"/>
          <w:sz w:val="32"/>
          <w:szCs w:val="36"/>
        </w:rPr>
        <w:t>因科技馆本身设备采购选配进口部件众多，参与的供应商需承诺能提供原厂正品配件证明材料（不限于原厂授权函件、进口报关单等），拒绝使用替代品，以次充好。</w:t>
      </w:r>
    </w:p>
    <w:p>
      <w:pPr>
        <w:spacing w:line="360" w:lineRule="auto"/>
        <w:rPr>
          <w:rFonts w:ascii="仿宋" w:hAnsi="仿宋" w:eastAsia="仿宋" w:cs="仿宋"/>
          <w:sz w:val="32"/>
          <w:szCs w:val="36"/>
        </w:rPr>
      </w:pPr>
      <w:r>
        <w:rPr>
          <w:rFonts w:ascii="仿宋" w:hAnsi="仿宋" w:eastAsia="仿宋" w:cs="仿宋"/>
          <w:sz w:val="32"/>
          <w:szCs w:val="36"/>
        </w:rPr>
        <w:t>5</w:t>
      </w:r>
      <w:r>
        <w:rPr>
          <w:rFonts w:hint="eastAsia" w:ascii="仿宋" w:hAnsi="仿宋" w:eastAsia="仿宋" w:cs="仿宋"/>
          <w:sz w:val="32"/>
          <w:szCs w:val="36"/>
        </w:rPr>
        <w:t>、供应商具有特种设备乘客电梯、载货电梯</w:t>
      </w:r>
      <w:r>
        <w:rPr>
          <w:rFonts w:ascii="仿宋" w:hAnsi="仿宋" w:eastAsia="仿宋" w:cs="仿宋"/>
          <w:sz w:val="32"/>
          <w:szCs w:val="36"/>
        </w:rPr>
        <w:t>A</w:t>
      </w:r>
      <w:r>
        <w:rPr>
          <w:rFonts w:hint="eastAsia" w:ascii="仿宋" w:hAnsi="仿宋" w:eastAsia="仿宋" w:cs="仿宋"/>
          <w:sz w:val="32"/>
          <w:szCs w:val="36"/>
        </w:rPr>
        <w:t>级及以上安装维修资质；且在南昌市域内进行备案的电梯维护保养单位，在维护保养过程中未发生过重大安全责任事故。为保证电梯零备件供应的及时性以及体现供货实力，供应商在项目当地需设备件仓库，备件储备价值不应低于</w:t>
      </w:r>
      <w:r>
        <w:rPr>
          <w:rFonts w:ascii="仿宋" w:hAnsi="仿宋" w:eastAsia="仿宋" w:cs="仿宋"/>
          <w:sz w:val="32"/>
          <w:szCs w:val="36"/>
        </w:rPr>
        <w:t>100</w:t>
      </w:r>
      <w:r>
        <w:rPr>
          <w:rFonts w:hint="eastAsia" w:ascii="仿宋" w:hAnsi="仿宋" w:eastAsia="仿宋" w:cs="仿宋"/>
          <w:sz w:val="32"/>
          <w:szCs w:val="36"/>
        </w:rPr>
        <w:t>万元。</w:t>
      </w:r>
    </w:p>
    <w:p>
      <w:pPr>
        <w:spacing w:line="360" w:lineRule="auto"/>
        <w:rPr>
          <w:rFonts w:ascii="仿宋" w:hAnsi="仿宋" w:eastAsia="仿宋" w:cs="仿宋"/>
          <w:sz w:val="32"/>
          <w:szCs w:val="36"/>
        </w:rPr>
      </w:pPr>
      <w:r>
        <w:rPr>
          <w:rFonts w:ascii="仿宋" w:hAnsi="仿宋" w:eastAsia="仿宋" w:cs="仿宋"/>
          <w:sz w:val="32"/>
          <w:szCs w:val="36"/>
        </w:rPr>
        <w:t>6</w:t>
      </w:r>
      <w:r>
        <w:rPr>
          <w:rFonts w:hint="eastAsia" w:ascii="仿宋" w:hAnsi="仿宋" w:eastAsia="仿宋" w:cs="仿宋"/>
          <w:sz w:val="32"/>
          <w:szCs w:val="36"/>
        </w:rPr>
        <w:t>、电梯维保为特种设备作业，出于安全作业考虑，在进行日常维保的团队中，应具有应急救护的能力，每个小组应设置一名持证的救护员。</w:t>
      </w:r>
    </w:p>
    <w:p>
      <w:pPr>
        <w:spacing w:line="360" w:lineRule="auto"/>
        <w:rPr>
          <w:rFonts w:ascii="仿宋" w:hAnsi="仿宋" w:eastAsia="仿宋" w:cs="仿宋"/>
          <w:sz w:val="32"/>
          <w:szCs w:val="36"/>
        </w:rPr>
      </w:pPr>
      <w:r>
        <w:rPr>
          <w:rFonts w:ascii="仿宋" w:hAnsi="仿宋" w:eastAsia="仿宋" w:cs="仿宋"/>
          <w:sz w:val="32"/>
          <w:szCs w:val="36"/>
        </w:rPr>
        <w:t>7</w:t>
      </w:r>
      <w:r>
        <w:rPr>
          <w:rFonts w:hint="eastAsia" w:ascii="仿宋" w:hAnsi="仿宋" w:eastAsia="仿宋" w:cs="仿宋"/>
          <w:sz w:val="32"/>
          <w:szCs w:val="36"/>
        </w:rPr>
        <w:t>、为规避和减少业主风险，供应商应为产品及日常维保实操人员购买责任险，按法律规定赔偿被保险人发生在保单规定的地域范围内因业务活动导致的由被保险人依法应当承担的对第三者的经济赔偿责任。</w:t>
      </w:r>
    </w:p>
    <w:p>
      <w:pPr>
        <w:spacing w:line="360" w:lineRule="auto"/>
        <w:rPr>
          <w:rFonts w:ascii="仿宋" w:hAnsi="仿宋" w:eastAsia="仿宋" w:cs="仿宋"/>
          <w:sz w:val="32"/>
          <w:szCs w:val="36"/>
        </w:rPr>
      </w:pPr>
      <w:r>
        <w:rPr>
          <w:rFonts w:ascii="仿宋" w:hAnsi="仿宋" w:eastAsia="仿宋" w:cs="仿宋"/>
          <w:sz w:val="32"/>
          <w:szCs w:val="36"/>
        </w:rPr>
        <w:t>8</w:t>
      </w:r>
      <w:r>
        <w:rPr>
          <w:rFonts w:hint="eastAsia" w:ascii="仿宋" w:hAnsi="仿宋" w:eastAsia="仿宋" w:cs="仿宋"/>
          <w:sz w:val="32"/>
          <w:szCs w:val="36"/>
        </w:rPr>
        <w:t>、供应商应具有在重要节日、大型群体性活动的接待经验和能力；可在重要节日、接待时安排充足的人员驻点及成立抢险应急队随时待命。另外，承诺当电梯发生设备或系统故障无法有效解决时能得到电梯厂家技术支持或派厂家技术人员进行现场技术指导，承诺方式包括不限于提供电梯厂家盖章的技术支持承诺函原件。</w:t>
      </w:r>
    </w:p>
    <w:p>
      <w:pPr>
        <w:spacing w:line="360" w:lineRule="auto"/>
        <w:rPr>
          <w:rFonts w:ascii="仿宋" w:hAnsi="仿宋" w:eastAsia="仿宋" w:cs="仿宋"/>
          <w:sz w:val="32"/>
          <w:szCs w:val="36"/>
        </w:rPr>
      </w:pPr>
      <w:r>
        <w:rPr>
          <w:rFonts w:ascii="仿宋" w:hAnsi="仿宋" w:eastAsia="仿宋" w:cs="仿宋"/>
          <w:sz w:val="32"/>
          <w:szCs w:val="36"/>
        </w:rPr>
        <w:t>9</w:t>
      </w:r>
      <w:r>
        <w:rPr>
          <w:rFonts w:hint="eastAsia" w:ascii="仿宋" w:hAnsi="仿宋" w:eastAsia="仿宋" w:cs="仿宋"/>
          <w:sz w:val="32"/>
          <w:szCs w:val="36"/>
        </w:rPr>
        <w:t>、要求提供维保内容与维保标准、维保的应急管理与应急预案等进行描述，阐述科学合理、可行性、实用性强的。</w:t>
      </w:r>
    </w:p>
    <w:p>
      <w:pPr>
        <w:spacing w:line="360" w:lineRule="auto"/>
        <w:rPr>
          <w:rFonts w:ascii="宋体" w:cs="宋体"/>
          <w:sz w:val="44"/>
          <w:szCs w:val="44"/>
        </w:rPr>
      </w:pPr>
      <w:r>
        <w:rPr>
          <w:rFonts w:ascii="仿宋" w:hAnsi="仿宋" w:eastAsia="仿宋" w:cs="仿宋"/>
          <w:sz w:val="32"/>
          <w:szCs w:val="36"/>
        </w:rPr>
        <w:t>10</w:t>
      </w:r>
      <w:r>
        <w:rPr>
          <w:rFonts w:hint="eastAsia" w:ascii="仿宋" w:hAnsi="仿宋" w:eastAsia="仿宋" w:cs="仿宋"/>
          <w:sz w:val="32"/>
          <w:szCs w:val="36"/>
        </w:rPr>
        <w:t>、为体现企业实力，投稿单位可提供</w:t>
      </w:r>
      <w:r>
        <w:rPr>
          <w:rFonts w:ascii="仿宋" w:hAnsi="仿宋" w:eastAsia="仿宋" w:cs="仿宋"/>
          <w:sz w:val="32"/>
          <w:szCs w:val="36"/>
        </w:rPr>
        <w:t>IS09001</w:t>
      </w:r>
      <w:r>
        <w:rPr>
          <w:rFonts w:hint="eastAsia" w:ascii="仿宋" w:hAnsi="仿宋" w:eastAsia="仿宋" w:cs="仿宋"/>
          <w:sz w:val="32"/>
          <w:szCs w:val="36"/>
        </w:rPr>
        <w:t>质量管理体系认证证书、</w:t>
      </w:r>
      <w:r>
        <w:rPr>
          <w:rFonts w:ascii="仿宋" w:hAnsi="仿宋" w:eastAsia="仿宋" w:cs="仿宋"/>
          <w:sz w:val="32"/>
          <w:szCs w:val="36"/>
        </w:rPr>
        <w:t>IS014001</w:t>
      </w:r>
      <w:r>
        <w:rPr>
          <w:rFonts w:hint="eastAsia" w:ascii="仿宋" w:hAnsi="仿宋" w:eastAsia="仿宋" w:cs="仿宋"/>
          <w:sz w:val="32"/>
          <w:szCs w:val="36"/>
        </w:rPr>
        <w:t>环境管理体系认证证书、</w:t>
      </w:r>
      <w:r>
        <w:rPr>
          <w:rFonts w:ascii="仿宋" w:hAnsi="仿宋" w:eastAsia="仿宋" w:cs="仿宋"/>
          <w:sz w:val="32"/>
          <w:szCs w:val="36"/>
        </w:rPr>
        <w:t>IS045001</w:t>
      </w:r>
      <w:r>
        <w:rPr>
          <w:rFonts w:hint="eastAsia" w:ascii="仿宋" w:hAnsi="仿宋" w:eastAsia="仿宋" w:cs="仿宋"/>
          <w:sz w:val="32"/>
          <w:szCs w:val="36"/>
        </w:rPr>
        <w:t>职业健康管理体系认证证书或其他荣誉证书。</w:t>
      </w:r>
    </w:p>
    <w:p>
      <w:pPr>
        <w:pStyle w:val="5"/>
        <w:spacing w:line="240" w:lineRule="auto"/>
        <w:jc w:val="center"/>
        <w:rPr>
          <w:rFonts w:ascii="宋体" w:cs="宋体"/>
          <w:sz w:val="44"/>
          <w:szCs w:val="44"/>
        </w:rPr>
      </w:pPr>
      <w:r>
        <w:rPr>
          <w:rFonts w:hint="eastAsia" w:ascii="宋体" w:hAnsi="宋体" w:cs="宋体"/>
          <w:sz w:val="44"/>
          <w:szCs w:val="44"/>
        </w:rPr>
        <w:t>电梯商务需求</w:t>
      </w:r>
    </w:p>
    <w:p>
      <w:pPr>
        <w:spacing w:line="480" w:lineRule="auto"/>
        <w:rPr>
          <w:rFonts w:ascii="Times New Roman" w:hAnsi="Times New Roman"/>
          <w:b/>
        </w:rPr>
      </w:pPr>
    </w:p>
    <w:p>
      <w:pPr>
        <w:pStyle w:val="6"/>
        <w:numPr>
          <w:ilvl w:val="0"/>
          <w:numId w:val="2"/>
        </w:numPr>
        <w:spacing w:line="480" w:lineRule="auto"/>
        <w:rPr>
          <w:rFonts w:ascii="仿宋" w:hAnsi="仿宋" w:eastAsia="仿宋" w:cs="仿宋"/>
          <w:b w:val="0"/>
          <w:color w:val="auto"/>
          <w:kern w:val="2"/>
          <w:sz w:val="32"/>
          <w:szCs w:val="36"/>
        </w:rPr>
      </w:pPr>
      <w:r>
        <w:rPr>
          <w:rFonts w:hint="eastAsia" w:ascii="仿宋" w:hAnsi="仿宋" w:eastAsia="仿宋" w:cs="仿宋"/>
          <w:b w:val="0"/>
          <w:color w:val="auto"/>
          <w:kern w:val="2"/>
          <w:sz w:val="32"/>
          <w:szCs w:val="36"/>
        </w:rPr>
        <w:t>服务期：货梯自</w:t>
      </w:r>
      <w:r>
        <w:rPr>
          <w:rFonts w:ascii="仿宋" w:hAnsi="仿宋" w:eastAsia="仿宋" w:cs="仿宋"/>
          <w:b w:val="0"/>
          <w:color w:val="auto"/>
          <w:kern w:val="2"/>
          <w:sz w:val="32"/>
          <w:szCs w:val="36"/>
        </w:rPr>
        <w:t>2022</w:t>
      </w:r>
      <w:r>
        <w:rPr>
          <w:rFonts w:hint="eastAsia" w:ascii="仿宋" w:hAnsi="仿宋" w:eastAsia="仿宋" w:cs="仿宋"/>
          <w:b w:val="0"/>
          <w:color w:val="auto"/>
          <w:kern w:val="2"/>
          <w:sz w:val="32"/>
          <w:szCs w:val="36"/>
        </w:rPr>
        <w:t>年</w:t>
      </w:r>
      <w:r>
        <w:rPr>
          <w:rFonts w:ascii="仿宋" w:hAnsi="仿宋" w:eastAsia="仿宋" w:cs="仿宋"/>
          <w:b w:val="0"/>
          <w:color w:val="auto"/>
          <w:kern w:val="2"/>
          <w:sz w:val="32"/>
          <w:szCs w:val="36"/>
        </w:rPr>
        <w:t>6</w:t>
      </w:r>
      <w:r>
        <w:rPr>
          <w:rFonts w:hint="eastAsia" w:ascii="仿宋" w:hAnsi="仿宋" w:eastAsia="仿宋" w:cs="仿宋"/>
          <w:b w:val="0"/>
          <w:color w:val="auto"/>
          <w:kern w:val="2"/>
          <w:sz w:val="32"/>
          <w:szCs w:val="36"/>
        </w:rPr>
        <w:t>月</w:t>
      </w:r>
      <w:r>
        <w:rPr>
          <w:rFonts w:ascii="仿宋" w:hAnsi="仿宋" w:eastAsia="仿宋" w:cs="仿宋"/>
          <w:b w:val="0"/>
          <w:color w:val="auto"/>
          <w:kern w:val="2"/>
          <w:sz w:val="32"/>
          <w:szCs w:val="36"/>
        </w:rPr>
        <w:t>18</w:t>
      </w:r>
      <w:r>
        <w:rPr>
          <w:rFonts w:hint="eastAsia" w:ascii="仿宋" w:hAnsi="仿宋" w:eastAsia="仿宋" w:cs="仿宋"/>
          <w:b w:val="0"/>
          <w:color w:val="auto"/>
          <w:kern w:val="2"/>
          <w:sz w:val="32"/>
          <w:szCs w:val="36"/>
        </w:rPr>
        <w:t>日至</w:t>
      </w:r>
      <w:r>
        <w:rPr>
          <w:rFonts w:ascii="仿宋" w:hAnsi="仿宋" w:eastAsia="仿宋" w:cs="仿宋"/>
          <w:b w:val="0"/>
          <w:color w:val="auto"/>
          <w:kern w:val="2"/>
          <w:sz w:val="32"/>
          <w:szCs w:val="36"/>
        </w:rPr>
        <w:t>2023</w:t>
      </w:r>
      <w:r>
        <w:rPr>
          <w:rFonts w:hint="eastAsia" w:ascii="仿宋" w:hAnsi="仿宋" w:eastAsia="仿宋" w:cs="仿宋"/>
          <w:b w:val="0"/>
          <w:color w:val="auto"/>
          <w:kern w:val="2"/>
          <w:sz w:val="32"/>
          <w:szCs w:val="36"/>
        </w:rPr>
        <w:t>年</w:t>
      </w:r>
      <w:r>
        <w:rPr>
          <w:rFonts w:ascii="仿宋" w:hAnsi="仿宋" w:eastAsia="仿宋" w:cs="仿宋"/>
          <w:b w:val="0"/>
          <w:color w:val="auto"/>
          <w:kern w:val="2"/>
          <w:sz w:val="32"/>
          <w:szCs w:val="36"/>
        </w:rPr>
        <w:t>9</w:t>
      </w:r>
      <w:r>
        <w:rPr>
          <w:rFonts w:hint="eastAsia" w:ascii="仿宋" w:hAnsi="仿宋" w:eastAsia="仿宋" w:cs="仿宋"/>
          <w:b w:val="0"/>
          <w:color w:val="auto"/>
          <w:kern w:val="2"/>
          <w:sz w:val="32"/>
          <w:szCs w:val="36"/>
        </w:rPr>
        <w:t>月</w:t>
      </w:r>
      <w:r>
        <w:rPr>
          <w:rFonts w:ascii="仿宋" w:hAnsi="仿宋" w:eastAsia="仿宋" w:cs="仿宋"/>
          <w:b w:val="0"/>
          <w:color w:val="auto"/>
          <w:kern w:val="2"/>
          <w:sz w:val="32"/>
          <w:szCs w:val="36"/>
        </w:rPr>
        <w:t>14</w:t>
      </w:r>
      <w:r>
        <w:rPr>
          <w:rFonts w:hint="eastAsia" w:ascii="仿宋" w:hAnsi="仿宋" w:eastAsia="仿宋" w:cs="仿宋"/>
          <w:b w:val="0"/>
          <w:color w:val="auto"/>
          <w:kern w:val="2"/>
          <w:sz w:val="32"/>
          <w:szCs w:val="36"/>
        </w:rPr>
        <w:t>日止</w:t>
      </w:r>
    </w:p>
    <w:p>
      <w:pPr>
        <w:pStyle w:val="6"/>
        <w:spacing w:line="480" w:lineRule="auto"/>
        <w:ind w:firstLine="640" w:firstLineChars="200"/>
        <w:rPr>
          <w:rFonts w:ascii="仿宋" w:hAnsi="仿宋" w:eastAsia="仿宋" w:cs="仿宋"/>
          <w:b w:val="0"/>
          <w:color w:val="auto"/>
          <w:kern w:val="2"/>
          <w:sz w:val="32"/>
          <w:szCs w:val="36"/>
        </w:rPr>
      </w:pPr>
      <w:r>
        <w:rPr>
          <w:rFonts w:hint="eastAsia" w:ascii="仿宋" w:hAnsi="仿宋" w:eastAsia="仿宋" w:cs="仿宋"/>
          <w:b w:val="0"/>
          <w:color w:val="auto"/>
          <w:kern w:val="2"/>
          <w:sz w:val="32"/>
          <w:szCs w:val="36"/>
        </w:rPr>
        <w:t>客梯自</w:t>
      </w:r>
      <w:r>
        <w:rPr>
          <w:rFonts w:ascii="仿宋" w:hAnsi="仿宋" w:eastAsia="仿宋" w:cs="仿宋"/>
          <w:b w:val="0"/>
          <w:color w:val="auto"/>
          <w:kern w:val="2"/>
          <w:sz w:val="32"/>
          <w:szCs w:val="36"/>
        </w:rPr>
        <w:t>2022</w:t>
      </w:r>
      <w:r>
        <w:rPr>
          <w:rFonts w:hint="eastAsia" w:ascii="仿宋" w:hAnsi="仿宋" w:eastAsia="仿宋" w:cs="仿宋"/>
          <w:b w:val="0"/>
          <w:color w:val="auto"/>
          <w:kern w:val="2"/>
          <w:sz w:val="32"/>
          <w:szCs w:val="36"/>
        </w:rPr>
        <w:t>年</w:t>
      </w:r>
      <w:r>
        <w:rPr>
          <w:rFonts w:ascii="仿宋" w:hAnsi="仿宋" w:eastAsia="仿宋" w:cs="仿宋"/>
          <w:b w:val="0"/>
          <w:color w:val="auto"/>
          <w:kern w:val="2"/>
          <w:sz w:val="32"/>
          <w:szCs w:val="36"/>
        </w:rPr>
        <w:t>9</w:t>
      </w:r>
      <w:r>
        <w:rPr>
          <w:rFonts w:hint="eastAsia" w:ascii="仿宋" w:hAnsi="仿宋" w:eastAsia="仿宋" w:cs="仿宋"/>
          <w:b w:val="0"/>
          <w:color w:val="auto"/>
          <w:kern w:val="2"/>
          <w:sz w:val="32"/>
          <w:szCs w:val="36"/>
        </w:rPr>
        <w:t>月</w:t>
      </w:r>
      <w:r>
        <w:rPr>
          <w:rFonts w:ascii="仿宋" w:hAnsi="仿宋" w:eastAsia="仿宋" w:cs="仿宋"/>
          <w:b w:val="0"/>
          <w:color w:val="auto"/>
          <w:kern w:val="2"/>
          <w:sz w:val="32"/>
          <w:szCs w:val="36"/>
        </w:rPr>
        <w:t>15</w:t>
      </w:r>
      <w:r>
        <w:rPr>
          <w:rFonts w:hint="eastAsia" w:ascii="仿宋" w:hAnsi="仿宋" w:eastAsia="仿宋" w:cs="仿宋"/>
          <w:b w:val="0"/>
          <w:color w:val="auto"/>
          <w:kern w:val="2"/>
          <w:sz w:val="32"/>
          <w:szCs w:val="36"/>
        </w:rPr>
        <w:t>日至</w:t>
      </w:r>
      <w:r>
        <w:rPr>
          <w:rFonts w:ascii="仿宋" w:hAnsi="仿宋" w:eastAsia="仿宋" w:cs="仿宋"/>
          <w:b w:val="0"/>
          <w:color w:val="auto"/>
          <w:kern w:val="2"/>
          <w:sz w:val="32"/>
          <w:szCs w:val="36"/>
        </w:rPr>
        <w:t>2023</w:t>
      </w:r>
      <w:r>
        <w:rPr>
          <w:rFonts w:hint="eastAsia" w:ascii="仿宋" w:hAnsi="仿宋" w:eastAsia="仿宋" w:cs="仿宋"/>
          <w:b w:val="0"/>
          <w:color w:val="auto"/>
          <w:kern w:val="2"/>
          <w:sz w:val="32"/>
          <w:szCs w:val="36"/>
        </w:rPr>
        <w:t>年</w:t>
      </w:r>
      <w:r>
        <w:rPr>
          <w:rFonts w:ascii="仿宋" w:hAnsi="仿宋" w:eastAsia="仿宋" w:cs="仿宋"/>
          <w:b w:val="0"/>
          <w:color w:val="auto"/>
          <w:kern w:val="2"/>
          <w:sz w:val="32"/>
          <w:szCs w:val="36"/>
        </w:rPr>
        <w:t>9</w:t>
      </w:r>
      <w:r>
        <w:rPr>
          <w:rFonts w:hint="eastAsia" w:ascii="仿宋" w:hAnsi="仿宋" w:eastAsia="仿宋" w:cs="仿宋"/>
          <w:b w:val="0"/>
          <w:color w:val="auto"/>
          <w:kern w:val="2"/>
          <w:sz w:val="32"/>
          <w:szCs w:val="36"/>
        </w:rPr>
        <w:t>月</w:t>
      </w:r>
      <w:r>
        <w:rPr>
          <w:rFonts w:ascii="仿宋" w:hAnsi="仿宋" w:eastAsia="仿宋" w:cs="仿宋"/>
          <w:b w:val="0"/>
          <w:color w:val="auto"/>
          <w:kern w:val="2"/>
          <w:sz w:val="32"/>
          <w:szCs w:val="36"/>
        </w:rPr>
        <w:t>14</w:t>
      </w:r>
      <w:r>
        <w:rPr>
          <w:rFonts w:hint="eastAsia" w:ascii="仿宋" w:hAnsi="仿宋" w:eastAsia="仿宋" w:cs="仿宋"/>
          <w:b w:val="0"/>
          <w:color w:val="auto"/>
          <w:kern w:val="2"/>
          <w:sz w:val="32"/>
          <w:szCs w:val="36"/>
        </w:rPr>
        <w:t>日止（一年）</w:t>
      </w:r>
    </w:p>
    <w:p>
      <w:pPr>
        <w:pStyle w:val="6"/>
        <w:numPr>
          <w:ilvl w:val="0"/>
          <w:numId w:val="2"/>
        </w:numPr>
        <w:spacing w:line="480" w:lineRule="auto"/>
        <w:rPr>
          <w:rFonts w:ascii="仿宋" w:hAnsi="仿宋" w:eastAsia="仿宋" w:cs="仿宋"/>
          <w:b w:val="0"/>
          <w:color w:val="auto"/>
          <w:kern w:val="2"/>
          <w:sz w:val="32"/>
          <w:szCs w:val="36"/>
        </w:rPr>
      </w:pPr>
      <w:r>
        <w:rPr>
          <w:rFonts w:hint="eastAsia" w:ascii="仿宋" w:hAnsi="仿宋" w:eastAsia="仿宋" w:cs="仿宋"/>
          <w:b w:val="0"/>
          <w:color w:val="auto"/>
          <w:kern w:val="2"/>
          <w:sz w:val="32"/>
          <w:szCs w:val="36"/>
        </w:rPr>
        <w:t>服务地点：采购人指定地点。</w:t>
      </w:r>
    </w:p>
    <w:p>
      <w:pPr>
        <w:pStyle w:val="6"/>
        <w:spacing w:line="480" w:lineRule="auto"/>
        <w:ind w:firstLine="0"/>
        <w:rPr>
          <w:rFonts w:ascii="仿宋" w:hAnsi="仿宋" w:eastAsia="仿宋" w:cs="仿宋"/>
          <w:b w:val="0"/>
          <w:color w:val="auto"/>
          <w:kern w:val="2"/>
          <w:sz w:val="32"/>
          <w:szCs w:val="36"/>
        </w:rPr>
      </w:pPr>
      <w:r>
        <w:rPr>
          <w:rFonts w:ascii="仿宋" w:hAnsi="仿宋" w:eastAsia="仿宋" w:cs="仿宋"/>
          <w:b w:val="0"/>
          <w:color w:val="auto"/>
          <w:kern w:val="2"/>
          <w:sz w:val="32"/>
          <w:szCs w:val="36"/>
        </w:rPr>
        <w:t>3</w:t>
      </w:r>
      <w:r>
        <w:rPr>
          <w:rFonts w:hint="eastAsia" w:ascii="仿宋" w:hAnsi="仿宋" w:eastAsia="仿宋" w:cs="仿宋"/>
          <w:b w:val="0"/>
          <w:color w:val="auto"/>
          <w:kern w:val="2"/>
          <w:sz w:val="32"/>
          <w:szCs w:val="36"/>
        </w:rPr>
        <w:t>、付款方式：合同生效后，满</w:t>
      </w:r>
      <w:r>
        <w:rPr>
          <w:rFonts w:ascii="仿宋" w:hAnsi="仿宋" w:eastAsia="仿宋" w:cs="仿宋"/>
          <w:b w:val="0"/>
          <w:color w:val="auto"/>
          <w:kern w:val="2"/>
          <w:sz w:val="32"/>
          <w:szCs w:val="36"/>
        </w:rPr>
        <w:t>6</w:t>
      </w:r>
      <w:r>
        <w:rPr>
          <w:rFonts w:hint="eastAsia" w:ascii="仿宋" w:hAnsi="仿宋" w:eastAsia="仿宋" w:cs="仿宋"/>
          <w:b w:val="0"/>
          <w:color w:val="auto"/>
          <w:kern w:val="2"/>
          <w:sz w:val="32"/>
          <w:szCs w:val="36"/>
        </w:rPr>
        <w:t>个月后付合同总价款的</w:t>
      </w:r>
      <w:r>
        <w:rPr>
          <w:rFonts w:ascii="仿宋" w:hAnsi="仿宋" w:eastAsia="仿宋" w:cs="仿宋"/>
          <w:b w:val="0"/>
          <w:color w:val="auto"/>
          <w:kern w:val="2"/>
          <w:sz w:val="32"/>
          <w:szCs w:val="36"/>
        </w:rPr>
        <w:t>50%</w:t>
      </w:r>
      <w:r>
        <w:rPr>
          <w:rFonts w:hint="eastAsia" w:ascii="仿宋" w:hAnsi="仿宋" w:eastAsia="仿宋" w:cs="仿宋"/>
          <w:b w:val="0"/>
          <w:color w:val="auto"/>
          <w:kern w:val="2"/>
          <w:sz w:val="32"/>
          <w:szCs w:val="36"/>
        </w:rPr>
        <w:t>，剩余合同价款待维保期结束后一次性付款。</w:t>
      </w:r>
    </w:p>
    <w:p>
      <w:pPr>
        <w:pStyle w:val="10"/>
        <w:widowControl/>
        <w:numPr>
          <w:ilvl w:val="0"/>
          <w:numId w:val="0"/>
        </w:numPr>
        <w:spacing w:line="480" w:lineRule="auto"/>
        <w:ind w:leftChars="0"/>
        <w:jc w:val="left"/>
        <w:rPr>
          <w:rFonts w:hint="default" w:ascii="宋体" w:eastAsia="宋体" w:cs="宋体"/>
          <w:b/>
          <w:color w:val="000000"/>
          <w:sz w:val="28"/>
          <w:szCs w:val="28"/>
          <w:lang w:val="en-US" w:eastAsia="zh-CN"/>
        </w:rPr>
      </w:pPr>
      <w:r>
        <w:rPr>
          <w:rFonts w:ascii="宋体" w:cs="宋体"/>
          <w:b/>
          <w:color w:val="000000"/>
          <w:sz w:val="28"/>
          <w:szCs w:val="28"/>
        </w:rPr>
        <w:br w:type="page"/>
      </w:r>
      <w:r>
        <w:rPr>
          <w:rFonts w:hint="eastAsia" w:ascii="宋体" w:cs="宋体"/>
          <w:b/>
          <w:color w:val="000000"/>
          <w:sz w:val="28"/>
          <w:szCs w:val="28"/>
          <w:lang w:val="en-US" w:eastAsia="zh-CN"/>
        </w:rPr>
        <w:t>附件3</w:t>
      </w:r>
    </w:p>
    <w:p>
      <w:pPr>
        <w:pStyle w:val="4"/>
        <w:numPr>
          <w:ilvl w:val="0"/>
          <w:numId w:val="0"/>
        </w:numPr>
        <w:spacing w:line="360" w:lineRule="auto"/>
        <w:rPr>
          <w:rFonts w:ascii="宋体" w:cs="宋体"/>
          <w:color w:val="000000"/>
          <w:sz w:val="28"/>
          <w:szCs w:val="28"/>
        </w:rPr>
      </w:pPr>
      <w:r>
        <w:rPr>
          <w:rFonts w:hint="eastAsia" w:ascii="宋体" w:hAnsi="宋体" w:cs="宋体"/>
          <w:color w:val="000000"/>
          <w:sz w:val="28"/>
          <w:szCs w:val="28"/>
        </w:rPr>
        <w:t>分项报价表（格式可自拟）</w:t>
      </w:r>
    </w:p>
    <w:tbl>
      <w:tblPr>
        <w:tblStyle w:val="8"/>
        <w:tblW w:w="9321" w:type="dxa"/>
        <w:tblInd w:w="93" w:type="dxa"/>
        <w:tblLayout w:type="autofit"/>
        <w:tblCellMar>
          <w:top w:w="0" w:type="dxa"/>
          <w:left w:w="108" w:type="dxa"/>
          <w:bottom w:w="0" w:type="dxa"/>
          <w:right w:w="108" w:type="dxa"/>
        </w:tblCellMar>
      </w:tblPr>
      <w:tblGrid>
        <w:gridCol w:w="2834"/>
        <w:gridCol w:w="2096"/>
        <w:gridCol w:w="1054"/>
        <w:gridCol w:w="1054"/>
        <w:gridCol w:w="1054"/>
        <w:gridCol w:w="1229"/>
      </w:tblGrid>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电梯位置</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电梯编号</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数量</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楼层</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速度</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r>
              <w:rPr>
                <w:rFonts w:hint="eastAsia" w:ascii="宋体" w:hAnsi="宋体" w:cs="宋体"/>
                <w:color w:val="000000"/>
                <w:kern w:val="0"/>
                <w:sz w:val="24"/>
                <w:szCs w:val="24"/>
              </w:rPr>
              <w:t>维保单价</w:t>
            </w: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E30057640.001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3</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E30057640.002</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E30057640.003</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E30057640.004</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6</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E30057640.005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E30057640.006</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6</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E30057640.007</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E30057640.009</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2</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E30057640.010</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7</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8</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E30057640.012</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7</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E30057640.013</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7</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E30057640.014</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7</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7</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E30057640.016</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E30057640.017</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E30057640.018</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E30057640.019</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hint="eastAsia"/>
              </w:rPr>
              <w:t>江西省青少年科技中心</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LEGY160704468</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7</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4"/>
                <w:szCs w:val="24"/>
              </w:rPr>
            </w:pPr>
            <w:r>
              <w:rPr>
                <w:rFonts w:ascii="宋体" w:hAnsi="宋体" w:cs="宋体"/>
                <w:color w:val="000000"/>
                <w:kern w:val="0"/>
                <w:sz w:val="24"/>
                <w:szCs w:val="24"/>
              </w:rPr>
              <w:t xml:space="preserve">1.00 </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rPr>
                <w:rFonts w:hint="eastAsia" w:ascii="宋体" w:hAnsi="宋体" w:cs="宋体"/>
                <w:color w:val="000000"/>
                <w:kern w:val="0"/>
                <w:sz w:val="24"/>
                <w:szCs w:val="24"/>
              </w:rPr>
              <w:t>江西省科学技术馆</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r>
              <w:rPr>
                <w:rFonts w:hint="eastAsia" w:ascii="宋体" w:hAnsi="宋体" w:cs="宋体"/>
                <w:color w:val="000000"/>
                <w:kern w:val="0"/>
                <w:sz w:val="24"/>
                <w:szCs w:val="24"/>
              </w:rPr>
              <w:t>货梯</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r>
              <w:rPr>
                <w:rFonts w:ascii="宋体" w:hAnsi="宋体" w:cs="宋体"/>
                <w:color w:val="000000"/>
                <w:kern w:val="0"/>
                <w:sz w:val="24"/>
                <w:szCs w:val="24"/>
              </w:rPr>
              <w:t>1</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r>
              <w:rPr>
                <w:rFonts w:ascii="宋体" w:hAnsi="宋体" w:cs="宋体"/>
                <w:color w:val="000000"/>
                <w:kern w:val="0"/>
                <w:sz w:val="24"/>
                <w:szCs w:val="24"/>
              </w:rPr>
              <w:t>5</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r>
              <w:rPr>
                <w:rFonts w:ascii="宋体" w:hAnsi="宋体" w:cs="宋体"/>
                <w:color w:val="000000"/>
                <w:kern w:val="0"/>
                <w:sz w:val="24"/>
                <w:szCs w:val="24"/>
              </w:rPr>
              <w:t>0.5</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r>
        <w:tblPrEx>
          <w:tblCellMar>
            <w:top w:w="0" w:type="dxa"/>
            <w:left w:w="108" w:type="dxa"/>
            <w:bottom w:w="0" w:type="dxa"/>
            <w:right w:w="108" w:type="dxa"/>
          </w:tblCellMar>
        </w:tblPrEx>
        <w:trPr>
          <w:trHeight w:val="420" w:hRule="atLeast"/>
        </w:trPr>
        <w:tc>
          <w:tcPr>
            <w:tcW w:w="28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rPr>
                <w:rFonts w:hint="eastAsia"/>
              </w:rPr>
              <w:t>总计</w:t>
            </w:r>
          </w:p>
        </w:tc>
        <w:tc>
          <w:tcPr>
            <w:tcW w:w="6487"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4"/>
                <w:szCs w:val="24"/>
              </w:rPr>
            </w:pPr>
          </w:p>
        </w:tc>
      </w:tr>
    </w:tbl>
    <w:p>
      <w:pPr>
        <w:autoSpaceDE w:val="0"/>
        <w:autoSpaceDN w:val="0"/>
        <w:adjustRightInd w:val="0"/>
        <w:spacing w:beforeLines="100" w:afterLines="100"/>
        <w:rPr>
          <w:rFonts w:ascii="宋体" w:cs="宋体"/>
          <w:color w:val="000000"/>
          <w:kern w:val="0"/>
          <w:sz w:val="24"/>
          <w:szCs w:val="24"/>
          <w:u w:val="single"/>
        </w:rPr>
      </w:pPr>
      <w:r>
        <w:rPr>
          <w:rFonts w:hint="eastAsia" w:ascii="宋体" w:hAnsi="宋体" w:cs="宋体"/>
          <w:color w:val="000000"/>
          <w:kern w:val="0"/>
          <w:sz w:val="24"/>
          <w:szCs w:val="24"/>
        </w:rPr>
        <w:t>供应商名称（盖章）：</w:t>
      </w:r>
      <w:r>
        <w:rPr>
          <w:rFonts w:ascii="宋体" w:hAnsi="宋体" w:cs="宋体"/>
          <w:color w:val="000000"/>
          <w:kern w:val="0"/>
          <w:sz w:val="24"/>
          <w:szCs w:val="24"/>
          <w:u w:val="single"/>
        </w:rPr>
        <w:t xml:space="preserve">                            </w:t>
      </w:r>
    </w:p>
    <w:p>
      <w:r>
        <w:rPr>
          <w:rFonts w:hint="eastAsia" w:ascii="宋体" w:hAnsi="宋体" w:cs="宋体"/>
          <w:color w:val="000000"/>
          <w:sz w:val="24"/>
          <w:szCs w:val="24"/>
        </w:rPr>
        <w:t>法人或授权代表（签字）：</w:t>
      </w:r>
      <w:r>
        <w:rPr>
          <w:rFonts w:ascii="宋体" w:hAnsi="宋体" w:cs="宋体"/>
          <w:color w:val="000000"/>
          <w:sz w:val="24"/>
          <w:szCs w:val="24"/>
          <w:u w:val="single"/>
        </w:rPr>
        <w:t xml:space="preserve">                        </w:t>
      </w:r>
    </w:p>
    <w:p/>
    <w:sectPr>
      <w:footerReference r:id="rId3"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pPr>
        <w:ind w:left="7372"/>
      </w:pPr>
      <w:rPr>
        <w:rFonts w:cs="Times New Roman"/>
      </w:rPr>
    </w:lvl>
    <w:lvl w:ilvl="1" w:tentative="0">
      <w:start w:val="1"/>
      <w:numFmt w:val="upperLetter"/>
      <w:pStyle w:val="4"/>
      <w:suff w:val="nothing"/>
      <w:lvlText w:val="%2"/>
      <w:lvlJc w:val="left"/>
      <w:pPr>
        <w:ind w:left="4516"/>
      </w:pPr>
      <w:rPr>
        <w:rFonts w:cs="Times New Roman"/>
      </w:rPr>
    </w:lvl>
    <w:lvl w:ilvl="2" w:tentative="0">
      <w:start w:val="1"/>
      <w:numFmt w:val="decimal"/>
      <w:lvlRestart w:val="0"/>
      <w:suff w:val="nothing"/>
      <w:lvlText w:val="%3"/>
      <w:lvlJc w:val="left"/>
      <w:pPr>
        <w:ind w:left="4516"/>
      </w:pPr>
      <w:rPr>
        <w:rFonts w:hint="eastAsia" w:ascii="宋体" w:eastAsia="宋体" w:cs="Times New Roman"/>
        <w:b/>
        <w:i w:val="0"/>
        <w:sz w:val="28"/>
      </w:rPr>
    </w:lvl>
    <w:lvl w:ilvl="3" w:tentative="0">
      <w:start w:val="1"/>
      <w:numFmt w:val="none"/>
      <w:suff w:val="nothing"/>
      <w:lvlText w:val=""/>
      <w:lvlJc w:val="left"/>
      <w:pPr>
        <w:ind w:left="4516"/>
      </w:pPr>
      <w:rPr>
        <w:rFonts w:hint="eastAsia" w:cs="Times New Roman"/>
      </w:rPr>
    </w:lvl>
    <w:lvl w:ilvl="4" w:tentative="0">
      <w:start w:val="1"/>
      <w:numFmt w:val="none"/>
      <w:suff w:val="nothing"/>
      <w:lvlText w:val=""/>
      <w:lvlJc w:val="left"/>
      <w:pPr>
        <w:ind w:left="4516"/>
      </w:pPr>
      <w:rPr>
        <w:rFonts w:hint="eastAsia" w:cs="Times New Roman"/>
      </w:rPr>
    </w:lvl>
    <w:lvl w:ilvl="5" w:tentative="0">
      <w:start w:val="1"/>
      <w:numFmt w:val="none"/>
      <w:suff w:val="nothing"/>
      <w:lvlText w:val=""/>
      <w:lvlJc w:val="left"/>
      <w:pPr>
        <w:ind w:left="4516"/>
      </w:pPr>
      <w:rPr>
        <w:rFonts w:hint="eastAsia" w:cs="Times New Roman"/>
      </w:rPr>
    </w:lvl>
    <w:lvl w:ilvl="6" w:tentative="0">
      <w:start w:val="1"/>
      <w:numFmt w:val="none"/>
      <w:suff w:val="nothing"/>
      <w:lvlText w:val=""/>
      <w:lvlJc w:val="left"/>
      <w:pPr>
        <w:ind w:left="4516"/>
      </w:pPr>
      <w:rPr>
        <w:rFonts w:hint="eastAsia" w:cs="Times New Roman"/>
      </w:rPr>
    </w:lvl>
    <w:lvl w:ilvl="7" w:tentative="0">
      <w:start w:val="1"/>
      <w:numFmt w:val="none"/>
      <w:suff w:val="nothing"/>
      <w:lvlText w:val=""/>
      <w:lvlJc w:val="left"/>
      <w:pPr>
        <w:ind w:left="4516"/>
      </w:pPr>
      <w:rPr>
        <w:rFonts w:hint="eastAsia" w:cs="Times New Roman"/>
      </w:rPr>
    </w:lvl>
    <w:lvl w:ilvl="8" w:tentative="0">
      <w:start w:val="1"/>
      <w:numFmt w:val="none"/>
      <w:suff w:val="nothing"/>
      <w:lvlText w:val=""/>
      <w:lvlJc w:val="left"/>
      <w:pPr>
        <w:ind w:left="4516"/>
      </w:pPr>
      <w:rPr>
        <w:rFonts w:hint="eastAsia" w:cs="Times New Roman"/>
      </w:rPr>
    </w:lvl>
  </w:abstractNum>
  <w:abstractNum w:abstractNumId="1">
    <w:nsid w:val="58115402"/>
    <w:multiLevelType w:val="multilevel"/>
    <w:tmpl w:val="58115402"/>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YmI1YjAxYzAyNGVjMjk5NTA2ZWMxNDI4YTBlODEifQ=="/>
  </w:docVars>
  <w:rsids>
    <w:rsidRoot w:val="76BC6CDF"/>
    <w:rsid w:val="76BC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6" w:lineRule="auto"/>
      <w:outlineLvl w:val="0"/>
    </w:pPr>
    <w:rPr>
      <w:b/>
      <w:kern w:val="44"/>
      <w:sz w:val="44"/>
    </w:rPr>
  </w:style>
  <w:style w:type="paragraph" w:styleId="4">
    <w:name w:val="heading 2"/>
    <w:basedOn w:val="1"/>
    <w:next w:val="1"/>
    <w:qFormat/>
    <w:uiPriority w:val="99"/>
    <w:pPr>
      <w:keepNext/>
      <w:keepLines/>
      <w:numPr>
        <w:ilvl w:val="1"/>
        <w:numId w:val="1"/>
      </w:numPr>
      <w:spacing w:before="260" w:after="260" w:line="415" w:lineRule="auto"/>
      <w:jc w:val="center"/>
      <w:outlineLvl w:val="1"/>
    </w:pPr>
    <w:rPr>
      <w:rFonts w:ascii="CG Times" w:hAnsi="CG Times"/>
      <w:b/>
      <w:sz w:val="30"/>
      <w:szCs w:val="20"/>
    </w:rPr>
  </w:style>
  <w:style w:type="paragraph" w:styleId="5">
    <w:name w:val="heading 5"/>
    <w:basedOn w:val="1"/>
    <w:next w:val="1"/>
    <w:qFormat/>
    <w:uiPriority w:val="99"/>
    <w:pPr>
      <w:keepNext/>
      <w:keepLines/>
      <w:spacing w:before="280" w:after="290" w:line="372" w:lineRule="auto"/>
      <w:outlineLvl w:val="4"/>
    </w:pPr>
    <w:rPr>
      <w:b/>
      <w:sz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styleId="6">
    <w:name w:val="Normal Indent"/>
    <w:basedOn w:val="1"/>
    <w:qFormat/>
    <w:uiPriority w:val="99"/>
    <w:pPr>
      <w:autoSpaceDE w:val="0"/>
      <w:autoSpaceDN w:val="0"/>
      <w:adjustRightInd w:val="0"/>
      <w:spacing w:line="460" w:lineRule="exact"/>
      <w:ind w:firstLine="420"/>
      <w:jc w:val="left"/>
    </w:pPr>
    <w:rPr>
      <w:rFonts w:ascii="宋体" w:hAnsi="宋体"/>
      <w:b/>
      <w:color w:val="000000"/>
      <w:kern w:val="0"/>
      <w:sz w:val="24"/>
      <w:szCs w:val="24"/>
    </w:rPr>
  </w:style>
  <w:style w:type="paragraph" w:styleId="7">
    <w:name w:val="footer"/>
    <w:basedOn w:val="1"/>
    <w:qFormat/>
    <w:uiPriority w:val="99"/>
    <w:pPr>
      <w:tabs>
        <w:tab w:val="center" w:pos="4153"/>
        <w:tab w:val="right" w:pos="8306"/>
      </w:tabs>
      <w:snapToGrid w:val="0"/>
      <w:jc w:val="left"/>
    </w:pPr>
    <w:rPr>
      <w:sz w:val="18"/>
      <w:szCs w:val="20"/>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2022-05-07T02:29:00Z</dcterms:created>
  <dc:creator>一米阳光</dc:creator>
  <cp:lastModifiedBy>一米阳光</cp:lastModifiedBy>
  <dcterms:modified xsi:type="dcterms:W3CDTF">2022-05-07T02:29:59Z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8CD3086267F34D8D8DF6D338B3DAF777</vt:lpwstr>
  </property>
</Properties>
</file>