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宋体" w:eastAsia="黑体"/>
          <w:b w:val="0"/>
          <w:bCs w:val="0"/>
          <w:color w:val="000000" w:themeColor="text1"/>
          <w:sz w:val="44"/>
          <w:szCs w:val="44"/>
          <w:highlight w:val="none"/>
          <w:lang w:val="en-US" w:eastAsia="zh-CN"/>
          <w14:textFill>
            <w14:solidFill>
              <w14:schemeClr w14:val="tx1"/>
            </w14:solidFill>
          </w14:textFill>
        </w:rPr>
      </w:pPr>
      <w:r>
        <w:rPr>
          <w:rFonts w:hint="eastAsia" w:ascii="黑体" w:hAnsi="宋体" w:eastAsia="黑体"/>
          <w:b w:val="0"/>
          <w:bCs w:val="0"/>
          <w:color w:val="000000" w:themeColor="text1"/>
          <w:sz w:val="44"/>
          <w:szCs w:val="44"/>
          <w:highlight w:val="none"/>
          <w:lang w:val="en-US" w:eastAsia="zh-CN"/>
          <w14:textFill>
            <w14:solidFill>
              <w14:schemeClr w14:val="tx1"/>
            </w14:solidFill>
          </w14:textFill>
        </w:rPr>
        <w:t>附件</w:t>
      </w:r>
    </w:p>
    <w:p>
      <w:pPr>
        <w:jc w:val="center"/>
        <w:rPr>
          <w:rFonts w:hint="eastAsia" w:ascii="黑体" w:hAnsi="宋体" w:eastAsia="黑体"/>
          <w:b w:val="0"/>
          <w:bCs w:val="0"/>
          <w:color w:val="000000" w:themeColor="text1"/>
          <w:sz w:val="84"/>
          <w:szCs w:val="84"/>
          <w:highlight w:val="none"/>
          <w:lang w:val="en-US" w:eastAsia="zh-CN"/>
          <w14:textFill>
            <w14:solidFill>
              <w14:schemeClr w14:val="tx1"/>
            </w14:solidFill>
          </w14:textFill>
        </w:rPr>
      </w:pPr>
      <w:r>
        <w:rPr>
          <w:rFonts w:hint="eastAsia" w:ascii="黑体" w:hAnsi="宋体" w:eastAsia="黑体"/>
          <w:b w:val="0"/>
          <w:bCs w:val="0"/>
          <w:color w:val="000000" w:themeColor="text1"/>
          <w:sz w:val="84"/>
          <w:szCs w:val="84"/>
          <w:highlight w:val="none"/>
          <w:lang w:val="en-US" w:eastAsia="zh-CN"/>
          <w14:textFill>
            <w14:solidFill>
              <w14:schemeClr w14:val="tx1"/>
            </w14:solidFill>
          </w14:textFill>
        </w:rPr>
        <w:t>教育项目名称</w:t>
      </w:r>
    </w:p>
    <w:p>
      <w:pPr>
        <w:jc w:val="center"/>
        <w:rPr>
          <w:rFonts w:hint="eastAsia" w:ascii="黑体" w:hAnsi="宋体" w:eastAsia="黑体"/>
          <w:b w:val="0"/>
          <w:bCs w:val="0"/>
          <w:color w:val="000000" w:themeColor="text1"/>
          <w:sz w:val="56"/>
          <w:szCs w:val="56"/>
          <w:highlight w:val="none"/>
          <w14:textFill>
            <w14:solidFill>
              <w14:schemeClr w14:val="tx1"/>
            </w14:solidFill>
          </w14:textFill>
        </w:rPr>
      </w:pPr>
    </w:p>
    <w:p>
      <w:pPr>
        <w:jc w:val="center"/>
        <w:rPr>
          <w:rFonts w:hint="eastAsia" w:ascii="黑体" w:hAnsi="宋体" w:eastAsia="黑体"/>
          <w:b w:val="0"/>
          <w:bCs w:val="0"/>
          <w:color w:val="000000" w:themeColor="text1"/>
          <w:sz w:val="56"/>
          <w:szCs w:val="56"/>
          <w:highlight w:val="none"/>
          <w14:textFill>
            <w14:solidFill>
              <w14:schemeClr w14:val="tx1"/>
            </w14:solidFill>
          </w14:textFill>
        </w:rPr>
      </w:pPr>
    </w:p>
    <w:p>
      <w:pPr>
        <w:jc w:val="center"/>
        <w:rPr>
          <w:rFonts w:ascii="黑体" w:hAnsi="宋体" w:eastAsia="黑体"/>
          <w:b w:val="0"/>
          <w:bCs w:val="0"/>
          <w:color w:val="000000" w:themeColor="text1"/>
          <w:sz w:val="56"/>
          <w:szCs w:val="56"/>
          <w:highlight w:val="none"/>
          <w14:textFill>
            <w14:solidFill>
              <w14:schemeClr w14:val="tx1"/>
            </w14:solidFill>
          </w14:textFill>
        </w:rPr>
      </w:pPr>
      <w:r>
        <w:rPr>
          <w:rFonts w:hint="eastAsia" w:ascii="黑体" w:hAnsi="宋体" w:eastAsia="黑体"/>
          <w:b w:val="0"/>
          <w:bCs w:val="0"/>
          <w:color w:val="000000" w:themeColor="text1"/>
          <w:sz w:val="72"/>
          <w:szCs w:val="72"/>
          <w:highlight w:val="none"/>
          <w14:textFill>
            <w14:solidFill>
              <w14:schemeClr w14:val="tx1"/>
            </w14:solidFill>
          </w14:textFill>
        </w:rPr>
        <w:t>组织培养</w:t>
      </w: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r>
        <w:rPr>
          <w:rFonts w:hint="eastAsia" w:ascii="黑体" w:hAnsi="宋体" w:eastAsia="黑体"/>
          <w:b w:val="0"/>
          <w:bCs w:val="0"/>
          <w:color w:val="000000" w:themeColor="text1"/>
          <w:sz w:val="44"/>
          <w:szCs w:val="44"/>
          <w:highlight w:val="none"/>
          <w:lang w:val="en-US" w:eastAsia="zh-CN"/>
          <w14:textFill>
            <w14:solidFill>
              <w14:schemeClr w14:val="tx1"/>
            </w14:solidFill>
          </w14:textFill>
        </w:rPr>
        <w:t>（空白页）</w:t>
      </w: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both"/>
        <w:rPr>
          <w:rFonts w:hint="eastAsia" w:ascii="黑体" w:hAnsi="宋体" w:eastAsia="黑体"/>
          <w:b w:val="0"/>
          <w:bCs w:val="0"/>
          <w:color w:val="000000" w:themeColor="text1"/>
          <w:sz w:val="44"/>
          <w:szCs w:val="44"/>
          <w:highlight w:val="none"/>
          <w:lang w:val="en-US" w:eastAsia="zh-CN"/>
          <w14:textFill>
            <w14:solidFill>
              <w14:schemeClr w14:val="tx1"/>
            </w14:solidFill>
          </w14:textFill>
        </w:rPr>
      </w:pPr>
    </w:p>
    <w:p>
      <w:pPr>
        <w:jc w:val="center"/>
        <w:rPr>
          <w:rFonts w:ascii="黑体" w:hAnsi="宋体" w:eastAsia="黑体"/>
          <w:b w:val="0"/>
          <w:bCs w:val="0"/>
          <w:color w:val="000000" w:themeColor="text1"/>
          <w:sz w:val="56"/>
          <w:szCs w:val="56"/>
          <w:highlight w:val="none"/>
          <w14:textFill>
            <w14:solidFill>
              <w14:schemeClr w14:val="tx1"/>
            </w14:solidFill>
          </w14:textFill>
        </w:rPr>
      </w:pPr>
    </w:p>
    <w:p>
      <w:pPr>
        <w:jc w:val="center"/>
        <w:rPr>
          <w:rFonts w:ascii="黑体" w:hAnsi="宋体" w:eastAsia="黑体"/>
          <w:b w:val="0"/>
          <w:bCs w:val="0"/>
          <w:color w:val="000000" w:themeColor="text1"/>
          <w:sz w:val="52"/>
          <w:szCs w:val="52"/>
          <w:highlight w:val="none"/>
          <w14:textFill>
            <w14:solidFill>
              <w14:schemeClr w14:val="tx1"/>
            </w14:solidFill>
          </w14:textFill>
        </w:rPr>
      </w:pPr>
    </w:p>
    <w:p>
      <w:pPr>
        <w:jc w:val="center"/>
        <w:rPr>
          <w:rFonts w:ascii="黑体" w:hAnsi="宋体" w:eastAsia="黑体"/>
          <w:b w:val="0"/>
          <w:bCs w:val="0"/>
          <w:color w:val="000000" w:themeColor="text1"/>
          <w:sz w:val="52"/>
          <w:szCs w:val="52"/>
          <w:highlight w:val="none"/>
          <w14:textFill>
            <w14:solidFill>
              <w14:schemeClr w14:val="tx1"/>
            </w14:solidFill>
          </w14:textFill>
        </w:rPr>
      </w:pPr>
    </w:p>
    <w:p>
      <w:pPr>
        <w:spacing w:after="312" w:afterLines="100"/>
        <w:jc w:val="both"/>
        <w:rPr>
          <w:rFonts w:asciiTheme="minorEastAsia" w:hAnsiTheme="minorEastAsia" w:eastAsiaTheme="minorEastAsia"/>
          <w:b w:val="0"/>
          <w:bCs w:val="0"/>
          <w:color w:val="000000" w:themeColor="text1"/>
          <w:sz w:val="24"/>
          <w:highlight w:val="none"/>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pPr>
        <w:rPr>
          <w:rFonts w:hint="eastAsia" w:ascii="宋体" w:hAnsi="宋体" w:eastAsia="宋体" w:cs="宋体"/>
          <w:b w:val="0"/>
          <w:bCs w:val="0"/>
          <w:color w:val="000000" w:themeColor="text1"/>
          <w:sz w:val="21"/>
          <w:szCs w:val="21"/>
          <w:highlight w:val="none"/>
          <w14:textFill>
            <w14:solidFill>
              <w14:schemeClr w14:val="tx1"/>
            </w14:solidFill>
          </w14:textFill>
        </w:rPr>
      </w:pP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达成目标：</w:t>
      </w:r>
    </w:p>
    <w:p>
      <w:pPr>
        <w:spacing w:line="360" w:lineRule="auto"/>
        <w:ind w:firstLine="420" w:firstLineChars="20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《全民科学素质行动计划纲要实施方案（2016-2020年）》及</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Style w:val="7"/>
          <w:rFonts w:hint="eastAsia" w:ascii="宋体" w:hAnsi="宋体" w:eastAsia="宋体" w:cs="宋体"/>
          <w:b w:val="0"/>
          <w:bCs w:val="0"/>
          <w:color w:val="000000" w:themeColor="text1"/>
          <w:sz w:val="21"/>
          <w:szCs w:val="21"/>
          <w:highlight w:val="none"/>
          <w14:textFill>
            <w14:solidFill>
              <w14:schemeClr w14:val="tx1"/>
            </w14:solidFill>
          </w14:textFill>
        </w:rPr>
        <w:t>国家中长期教育改革和发展规划纲要（2010-2020年）》：</w:t>
      </w:r>
    </w:p>
    <w:p>
      <w:pPr>
        <w:spacing w:line="360" w:lineRule="auto"/>
        <w:ind w:firstLine="420" w:firstLineChars="20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根据《全民科学素质行动计划纲要实施方案（2016-2020年）》，适应新时代普惠创新、全民参与科普的要求。科技场馆应具备为学校提供馆校结合的优秀课程资源，把场馆的先进教育理念与学习活动带给学校教师和学生，切实有效地为科技场馆与学校的合作提供新思路和新模式，拓展馆校合作的深度与广度，提升场馆辅导员和学校教师设计、实施教育活动的水平。</w:t>
      </w:r>
    </w:p>
    <w:p>
      <w:pPr>
        <w:spacing w:line="360" w:lineRule="auto"/>
        <w:ind w:firstLine="420" w:firstLineChars="20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《国家中长期教育改革和发展规划纲要（2010-2020年）》也要求教育部门要促进教育事业科学发展，全面提高国民素质，加快社会主义现代化进程。</w:t>
      </w:r>
    </w:p>
    <w:p>
      <w:pPr>
        <w:spacing w:line="360" w:lineRule="auto"/>
        <w:ind w:firstLine="420" w:firstLineChars="20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适应国家和社会发展需要，遵循教育规律和人才成长规律，</w:t>
      </w:r>
      <w:r>
        <w:rPr>
          <w:rStyle w:val="7"/>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培养</w:t>
      </w:r>
      <w:r>
        <w:rPr>
          <w:rStyle w:val="7"/>
          <w:rFonts w:hint="eastAsia" w:ascii="宋体" w:hAnsi="宋体" w:eastAsia="宋体" w:cs="宋体"/>
          <w:b w:val="0"/>
          <w:bCs w:val="0"/>
          <w:color w:val="000000" w:themeColor="text1"/>
          <w:sz w:val="21"/>
          <w:szCs w:val="21"/>
          <w:highlight w:val="none"/>
          <w14:textFill>
            <w14:solidFill>
              <w14:schemeClr w14:val="tx1"/>
            </w14:solidFill>
          </w14:textFill>
        </w:rPr>
        <w:t>创新人才。</w:t>
      </w:r>
    </w:p>
    <w:p>
      <w:pPr>
        <w:spacing w:line="360" w:lineRule="auto"/>
        <w:rPr>
          <w:rStyle w:val="7"/>
          <w:rFonts w:hint="eastAsia" w:ascii="宋体" w:hAnsi="宋体" w:eastAsia="宋体" w:cs="宋体"/>
          <w:b w:val="0"/>
          <w:bCs w:val="0"/>
          <w:color w:val="000000" w:themeColor="text1"/>
          <w:sz w:val="21"/>
          <w:szCs w:val="21"/>
          <w:highlight w:val="none"/>
          <w14:textFill>
            <w14:solidFill>
              <w14:schemeClr w14:val="tx1"/>
            </w14:solidFill>
          </w14:textFill>
        </w:rPr>
      </w:pP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二、与教育部中小学教学大纲联系：</w:t>
      </w:r>
    </w:p>
    <w:p>
      <w:pPr>
        <w:numPr>
          <w:ilvl w:val="0"/>
          <w:numId w:val="0"/>
        </w:numPr>
        <w:spacing w:line="360" w:lineRule="auto"/>
        <w:ind w:firstLine="420" w:firstLineChars="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Style w:val="7"/>
          <w:rFonts w:hint="eastAsia" w:ascii="宋体" w:hAnsi="宋体" w:eastAsia="宋体" w:cs="宋体"/>
          <w:b w:val="0"/>
          <w:bCs w:val="0"/>
          <w:color w:val="000000" w:themeColor="text1"/>
          <w:sz w:val="21"/>
          <w:szCs w:val="21"/>
          <w:highlight w:val="none"/>
          <w14:textFill>
            <w14:solidFill>
              <w14:schemeClr w14:val="tx1"/>
            </w14:solidFill>
          </w14:textFill>
        </w:rPr>
        <w:t>教育部《中小学理科工作室装备规范》（JY/T0385-2006）：</w:t>
      </w:r>
    </w:p>
    <w:p>
      <w:pPr>
        <w:spacing w:line="360" w:lineRule="auto"/>
        <w:ind w:left="420" w:leftChars="0" w:firstLine="420" w:firstLineChars="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各地可以根据实际情况，创建更有利于培养学生创新精神和实践能力的工作室，满足基础教育课程改革对实验教学的要求。</w:t>
      </w:r>
    </w:p>
    <w:p>
      <w:pPr>
        <w:spacing w:line="360" w:lineRule="auto"/>
        <w:ind w:firstLine="420" w:firstLineChars="200"/>
        <w:jc w:val="center"/>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drawing>
          <wp:inline distT="0" distB="0" distL="0" distR="0">
            <wp:extent cx="4904105" cy="4370070"/>
            <wp:effectExtent l="0" t="0" r="317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08344" cy="4373794"/>
                    </a:xfrm>
                    <a:prstGeom prst="rect">
                      <a:avLst/>
                    </a:prstGeom>
                    <a:noFill/>
                    <a:ln>
                      <a:noFill/>
                    </a:ln>
                  </pic:spPr>
                </pic:pic>
              </a:graphicData>
            </a:graphic>
          </wp:inline>
        </w:drawing>
      </w:r>
    </w:p>
    <w:p>
      <w:pPr>
        <w:spacing w:line="360" w:lineRule="auto"/>
        <w:ind w:firstLine="420" w:firstLineChars="0"/>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Style w:val="7"/>
          <w:rFonts w:hint="eastAsia" w:ascii="宋体" w:hAnsi="宋体" w:eastAsia="宋体" w:cs="宋体"/>
          <w:b w:val="0"/>
          <w:bCs w:val="0"/>
          <w:color w:val="000000" w:themeColor="text1"/>
          <w:sz w:val="21"/>
          <w:szCs w:val="21"/>
          <w:highlight w:val="none"/>
          <w14:textFill>
            <w14:solidFill>
              <w14:schemeClr w14:val="tx1"/>
            </w14:solidFill>
          </w14:textFill>
        </w:rPr>
        <w:t>《普通中小学生物课程标准》（2017年版）：加强生物工作室的建设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党的十九大明确提出：“要全面贯彻党的教育方针，落实立德树人根本任务，发展素质教育，推进教育公平，培养德智体美全面发展的社会主义建设者和接班人。”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为着力培养学生的生物学学科核心素养，尤其是科学探究和生物学实践能力，应加强生物学实验教学和探究式教学，增加学生动手实践和体验的机会。地方和学校应按照课程的要求，加强生物学工作室和学生实践活动基地的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7"/>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为保障必修课程和选择性必修课程教学提示部分的学生实验活动的实施,地方和学校应依据课程要求和学生数量，制订并实施学校生物学工作室数量、主要实验仪器种类和数量等标准，及时购买必要的实验材料和药品，满足学生实验和实践教学活动的需要，增加所有学生的动手实践的机会。为促进学生开展生物学探究活动、生物科技活动，学校应不断完善生物学工作室的建设,及时补充仪器设备和材料用具，保证实验教学经费的投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Style w:val="7"/>
          <w:rFonts w:hint="eastAsia" w:ascii="宋体" w:hAnsi="宋体" w:eastAsia="宋体" w:cs="宋体"/>
          <w:b w:val="0"/>
          <w:bCs w:val="0"/>
          <w:color w:val="000000" w:themeColor="text1"/>
          <w:sz w:val="21"/>
          <w:szCs w:val="21"/>
          <w:highlight w:val="none"/>
          <w14:textFill>
            <w14:solidFill>
              <w14:schemeClr w14:val="tx1"/>
            </w14:solidFill>
          </w14:textFill>
        </w:rPr>
        <w:t>教师也应创造条件，就地取材、因陋就简地开设好生物学实验。有条件的学校应建设专题研究工作室、跨学科综合工作室，满足有学习兴趣的、学有余力的学生的实验活动和科技活动的需要，为他们发展兴趣和继续深造打下基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科技场馆作为非正式科学教育的重要场所，在具有独特的优势，可以充分发挥科技馆在硬件和师资方面的独特优势，通过植物组织培养工作室，为中小学生的生命科学学习提供支持和保障，促进和引领当地中小学科学教育的发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植物学是中小学生物探究必不可少的，因其取材方便，操作性强、与生物密切相关特点，中小学生探究植物的生长及调节等知识，对学生特别具有启发意义。实验过程涉及环境对生物的影响，激素对生物生长、分化的影响，涉及到各种植物生理学知识，是这些知识的体验、验证的过程，有利于学生对知识的掌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新课程和新教材的实施对生物教学有更高的要求，而项目建成有利于学生对整个科学素质的提高。</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p>
    <w:p>
      <w:pPr>
        <w:widowControl/>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br w:type="page"/>
      </w:r>
    </w:p>
    <w:p>
      <w:pPr>
        <w:numPr>
          <w:ilvl w:val="0"/>
          <w:numId w:val="1"/>
        </w:num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实验</w:t>
      </w:r>
      <w:r>
        <w:rPr>
          <w:rFonts w:hint="eastAsia" w:ascii="宋体" w:hAnsi="宋体" w:eastAsia="宋体" w:cs="宋体"/>
          <w:b w:val="0"/>
          <w:bCs w:val="0"/>
          <w:color w:val="000000" w:themeColor="text1"/>
          <w:sz w:val="21"/>
          <w:szCs w:val="21"/>
          <w:highlight w:val="none"/>
          <w14:textFill>
            <w14:solidFill>
              <w14:schemeClr w14:val="tx1"/>
            </w14:solidFill>
          </w14:textFill>
        </w:rPr>
        <w:t>工作室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具体设备组成及相关参数</w:t>
      </w:r>
    </w:p>
    <w:p>
      <w:pPr>
        <w:numPr>
          <w:ilvl w:val="0"/>
          <w:numId w:val="0"/>
        </w:num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058"/>
        <w:gridCol w:w="5445"/>
        <w:gridCol w:w="517"/>
        <w:gridCol w:w="501"/>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bookmarkStart w:id="0" w:name="_Hlk47635381"/>
            <w:r>
              <w:rPr>
                <w:rFonts w:hint="eastAsia" w:ascii="宋体" w:hAnsi="宋体" w:eastAsia="宋体" w:cs="宋体"/>
                <w:b w:val="0"/>
                <w:bCs w:val="0"/>
                <w:color w:val="000000" w:themeColor="text1"/>
                <w:kern w:val="0"/>
                <w:sz w:val="21"/>
                <w:szCs w:val="21"/>
                <w:highlight w:val="none"/>
                <w14:textFill>
                  <w14:solidFill>
                    <w14:schemeClr w14:val="tx1"/>
                  </w14:solidFill>
                </w14:textFill>
              </w:rPr>
              <w:t>编号</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名称</w:t>
            </w:r>
          </w:p>
        </w:tc>
        <w:tc>
          <w:tcPr>
            <w:tcW w:w="993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要求指标及特点</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数量</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单位</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171" w:type="dxa"/>
            <w:gridSpan w:val="6"/>
            <w:shd w:val="clear" w:color="auto" w:fill="FFFF00"/>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工作室实验器材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植物组培用超净工作台</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洁净等级：</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级@&gt;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µm</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菌落数：&lt;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个/皿.时</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平均风速：</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/m/s</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振动半峰值&lt;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µm</w:t>
            </w:r>
          </w:p>
          <w:p>
            <w:pPr>
              <w:widowControl/>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外形参考尺寸：</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电子分析天平</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流线型外形设计，使用高档金属材质外壳</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3</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电子天平</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不同感量（0.1—0.001g）的电子天平</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4</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高压蒸汽灭菌器</w:t>
            </w:r>
          </w:p>
        </w:tc>
        <w:tc>
          <w:tcPr>
            <w:tcW w:w="9932" w:type="dxa"/>
            <w:shd w:val="clear" w:color="auto" w:fill="auto"/>
            <w:vAlign w:val="center"/>
          </w:tcPr>
          <w:p>
            <w:pPr>
              <w:widowControl/>
              <w:jc w:val="left"/>
              <w:textAlignment w:val="cente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高压灭菌锅，</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L加厚不锈钢，内胆尺寸</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mm，防干烧，三阀门，功率</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KW</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炼苗架</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符合植物栽培、种子发芽、苗木、等</w:t>
            </w: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研究的理想实验设备；</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实验用工作室纯水器</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bidi="ar"/>
                <w14:textFill>
                  <w14:solidFill>
                    <w14:schemeClr w14:val="tx1"/>
                  </w14:solidFill>
                </w14:textFill>
              </w:rPr>
              <w:t>功率：70W（±2%）</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组培移液器</w:t>
            </w:r>
          </w:p>
        </w:tc>
        <w:tc>
          <w:tcPr>
            <w:tcW w:w="9932" w:type="dxa"/>
            <w:shd w:val="clear" w:color="auto" w:fill="auto"/>
            <w:vAlign w:val="center"/>
          </w:tcPr>
          <w:p>
            <w:pPr>
              <w:widowControl/>
              <w:jc w:val="left"/>
              <w:textAlignment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轻便且设计符合人机工效学， 数字视窗，令所设定量程一目了然 ，不锈钢退关装置，美观耐用，附送使用附件工具</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组培移液器架</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平板式，亚克力材料</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个</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9</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玻璃用具</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 培养器具：试管、三角瓶、培养皿、扁瓶</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2、其它器皿：滴瓶、称量瓶、漏斗、玻璃棒、注射器等。</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0</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金属用具</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1、各种型号各种规格的镊子：如尖头镊子、状枪镊子、扁头镊子、弯头镊子等。</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2、各种规格的剪刀。</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3、接种针。</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试剂盒</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矮牵牛组培试剂盒、菊花的组培试剂盒、月季组培试剂盒。试剂盒均为</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组/次的用量。</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辅助用品</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1、化学实验室常用的各种试管刷、洗液、滤纸、试管架等。</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2、小推车和瓷盘或塑料盒、记号笔、标签、牛皮纸、胶布。</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常用药品</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1、表面消毒药品：医用酒精、工业酒精、生汞。</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2、培养基能量物质：蔗糖等糖类物质。</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、培养基酸碱度调节物质：盐酸、烧碱。</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4</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组培接种服</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细胞接种专用绿色,超厚，可反复灭菌。</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组培专用矮牵牛无菌苗</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组培专用无菌苗。</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瓶</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16</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组培专用电冰箱</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双变频对开门冰箱，容积不小于300升。</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17</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观察实验用</w:t>
            </w:r>
          </w:p>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显微镜</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照明系统：透射、落射双照明系统</w:t>
            </w:r>
          </w:p>
          <w:p>
            <w:pPr>
              <w:widowControl/>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目镜：</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物镜组合：消色差物镜组：4X、10X、40X</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观察方式：直筒单目</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驱动方式：3节5号电池</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18</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实验用白大褂</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材质:涤棉</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19</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实验室台柜</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台面采用实芯理化板，四周做加厚磨边处理，抽屉导轨为承重型三折导轨，五金配件为国内品牌。</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20</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实验室凳子</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PU防静电圆凳面(直径</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MM)；</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黑色烤漆底盘(孔位10*10CM)</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只</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实验室讲台</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产品规格：长</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，宽</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，高</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mm，台面：采用实木板，上面铺有钢化玻璃，柜体干燥处理。台面下有抽屉和收纳柜。</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22</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实验室仪器柜</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材质说明：采用改性PP改性材料增加强度，注塑模一次性成型，表面沙面和光面相结合处理，</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23</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实验室衣物柜</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多门更衣柜</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层数：2层</w:t>
            </w:r>
          </w:p>
          <w:p>
            <w:pPr>
              <w:widowControl/>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开门数量：双门</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闭合方式：平开门式</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功能：可移动，防盗/带锁</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24</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实验台</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尺寸(mm):</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E1级环保板材</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优质实芯理化板</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25</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实验室电脑</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学生实验设计用带鼠标键盘</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26</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w:t>
            </w:r>
          </w:p>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笔记本电脑</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14英寸</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台</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27</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实验装备</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无菌操作帽、鞋套、手套等。</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套</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28</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学生活动桌</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学生探究实验用长桌，耐强酸碱、耐磨损、耐油、耐热、耐腐蚀等特点，具有无毒、无味、抗老化、防霉、防水、防火、防潮等特点。</w:t>
            </w:r>
          </w:p>
        </w:tc>
        <w:tc>
          <w:tcPr>
            <w:tcW w:w="629"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张</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29</w:t>
            </w:r>
          </w:p>
        </w:tc>
        <w:tc>
          <w:tcPr>
            <w:tcW w:w="1834"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实验室工具车</w:t>
            </w:r>
          </w:p>
        </w:tc>
        <w:tc>
          <w:tcPr>
            <w:tcW w:w="9932" w:type="dxa"/>
            <w:shd w:val="clear" w:color="auto" w:fill="auto"/>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材质: 金属，结构: 支架结构，万向轮</w:t>
            </w:r>
          </w:p>
        </w:tc>
        <w:tc>
          <w:tcPr>
            <w:tcW w:w="629"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个</w:t>
            </w:r>
          </w:p>
        </w:tc>
        <w:tc>
          <w:tcPr>
            <w:tcW w:w="592" w:type="dxa"/>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p>
        </w:tc>
      </w:tr>
      <w:bookmarkEnd w:id="0"/>
    </w:tbl>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四、课程内容安排：</w:t>
      </w:r>
    </w:p>
    <w:p>
      <w:pPr>
        <w:spacing w:line="360" w:lineRule="auto"/>
        <w:ind w:left="239" w:leftChars="114" w:firstLine="210" w:firstLineChars="1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课程内容需达到几个预期目标：</w:t>
      </w:r>
    </w:p>
    <w:p>
      <w:pPr>
        <w:pStyle w:val="8"/>
        <w:numPr>
          <w:ilvl w:val="0"/>
          <w:numId w:val="2"/>
        </w:numPr>
        <w:spacing w:line="360" w:lineRule="auto"/>
        <w:ind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满足馆校结合课程的需要。</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ab/>
      </w:r>
      <w:r>
        <w:rPr>
          <w:rFonts w:hint="eastAsia" w:ascii="宋体" w:hAnsi="宋体" w:eastAsia="宋体" w:cs="宋体"/>
          <w:b w:val="0"/>
          <w:bCs w:val="0"/>
          <w:color w:val="000000" w:themeColor="text1"/>
          <w:sz w:val="21"/>
          <w:szCs w:val="21"/>
          <w:highlight w:val="none"/>
          <w14:textFill>
            <w14:solidFill>
              <w14:schemeClr w14:val="tx1"/>
            </w14:solidFill>
          </w14:textFill>
        </w:rPr>
        <w:t>满足学生拓展学习，深入学习的需要。</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3．布局及环境上满足小组学习，探究学习的需要，创造学习氛围。</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 为青少年创新大赛提供实验支撑。</w:t>
      </w: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课程开设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内容</w:t>
      </w:r>
      <w:r>
        <w:rPr>
          <w:rFonts w:hint="eastAsia" w:ascii="宋体" w:hAnsi="宋体" w:eastAsia="宋体" w:cs="宋体"/>
          <w:b w:val="0"/>
          <w:bCs w:val="0"/>
          <w:color w:val="000000" w:themeColor="text1"/>
          <w:sz w:val="21"/>
          <w:szCs w:val="21"/>
          <w:highlight w:val="none"/>
          <w14:textFill>
            <w14:solidFill>
              <w14:schemeClr w14:val="tx1"/>
            </w14:solidFill>
          </w14:textFill>
        </w:rPr>
        <w:t>：</w:t>
      </w:r>
    </w:p>
    <w:tbl>
      <w:tblPr>
        <w:tblStyle w:val="4"/>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919"/>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序号</w:t>
            </w:r>
          </w:p>
        </w:tc>
        <w:tc>
          <w:tcPr>
            <w:tcW w:w="5919"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课程内容及活动</w:t>
            </w:r>
            <w:r>
              <w:rPr>
                <w:rFonts w:hint="eastAsia" w:ascii="宋体" w:hAnsi="宋体" w:eastAsia="宋体" w:cs="宋体"/>
                <w:b w:val="0"/>
                <w:bCs w:val="0"/>
                <w:color w:val="000000" w:themeColor="text1"/>
                <w:sz w:val="21"/>
                <w:szCs w:val="21"/>
                <w:highlight w:val="none"/>
                <w14:textFill>
                  <w14:solidFill>
                    <w14:schemeClr w14:val="tx1"/>
                  </w14:solidFill>
                </w14:textFill>
              </w:rPr>
              <w:t>主题名称</w:t>
            </w:r>
          </w:p>
        </w:tc>
        <w:tc>
          <w:tcPr>
            <w:tcW w:w="3348"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说明和备注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2"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5919"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学生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组织培养</w:t>
            </w:r>
            <w:r>
              <w:rPr>
                <w:rFonts w:hint="eastAsia" w:ascii="宋体" w:hAnsi="宋体" w:eastAsia="宋体" w:cs="宋体"/>
                <w:b w:val="0"/>
                <w:bCs w:val="0"/>
                <w:color w:val="000000" w:themeColor="text1"/>
                <w:sz w:val="21"/>
                <w:szCs w:val="21"/>
                <w:highlight w:val="none"/>
                <w14:textFill>
                  <w14:solidFill>
                    <w14:schemeClr w14:val="tx1"/>
                  </w14:solidFill>
                </w14:textFill>
              </w:rPr>
              <w:t>探究实验</w:t>
            </w:r>
          </w:p>
        </w:tc>
        <w:tc>
          <w:tcPr>
            <w:tcW w:w="3348"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2"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p>
        </w:tc>
        <w:tc>
          <w:tcPr>
            <w:tcW w:w="5919"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组织培养</w:t>
            </w:r>
            <w:r>
              <w:rPr>
                <w:rFonts w:hint="eastAsia" w:ascii="宋体" w:hAnsi="宋体" w:eastAsia="宋体" w:cs="宋体"/>
                <w:b w:val="0"/>
                <w:bCs w:val="0"/>
                <w:color w:val="000000" w:themeColor="text1"/>
                <w:sz w:val="21"/>
                <w:szCs w:val="21"/>
                <w:highlight w:val="none"/>
                <w14:textFill>
                  <w14:solidFill>
                    <w14:schemeClr w14:val="tx1"/>
                  </w14:solidFill>
                </w14:textFill>
              </w:rPr>
              <w:t>小型项目制课程</w:t>
            </w:r>
          </w:p>
        </w:tc>
        <w:tc>
          <w:tcPr>
            <w:tcW w:w="3348"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2"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p>
        </w:tc>
        <w:tc>
          <w:tcPr>
            <w:tcW w:w="5919"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组织培养的</w:t>
            </w:r>
            <w:r>
              <w:rPr>
                <w:rFonts w:hint="eastAsia" w:ascii="宋体" w:hAnsi="宋体" w:eastAsia="宋体" w:cs="宋体"/>
                <w:b w:val="0"/>
                <w:bCs w:val="0"/>
                <w:color w:val="000000" w:themeColor="text1"/>
                <w:sz w:val="21"/>
                <w:szCs w:val="21"/>
                <w:highlight w:val="none"/>
                <w14:textFill>
                  <w14:solidFill>
                    <w14:schemeClr w14:val="tx1"/>
                  </w14:solidFill>
                </w14:textFill>
              </w:rPr>
              <w:t>形式及实验</w:t>
            </w:r>
          </w:p>
        </w:tc>
        <w:tc>
          <w:tcPr>
            <w:tcW w:w="3348"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2"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p>
        </w:tc>
        <w:tc>
          <w:tcPr>
            <w:tcW w:w="5919"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组织培养报告</w:t>
            </w:r>
          </w:p>
        </w:tc>
        <w:tc>
          <w:tcPr>
            <w:tcW w:w="3348"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2"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5919"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3348" w:type="dxa"/>
            <w:vAlign w:val="center"/>
          </w:tcPr>
          <w:p>
            <w:pPr>
              <w:snapToGrid w:val="0"/>
              <w:spacing w:line="30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bl>
    <w:p>
      <w:pPr>
        <w:spacing w:before="156" w:beforeLines="50" w:line="30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val="0"/>
          <w:bCs w:val="0"/>
          <w:color w:val="000000" w:themeColor="text1"/>
          <w:sz w:val="21"/>
          <w:szCs w:val="21"/>
          <w:highlight w:val="none"/>
          <w14:textFill>
            <w14:solidFill>
              <w14:schemeClr w14:val="tx1"/>
            </w14:solidFill>
          </w14:textFill>
        </w:rPr>
        <w:t>工作室整体建设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环境</w:t>
      </w:r>
      <w:r>
        <w:rPr>
          <w:rFonts w:hint="eastAsia" w:ascii="宋体" w:hAnsi="宋体" w:eastAsia="宋体" w:cs="宋体"/>
          <w:b w:val="0"/>
          <w:bCs w:val="0"/>
          <w:color w:val="000000" w:themeColor="text1"/>
          <w:sz w:val="21"/>
          <w:szCs w:val="21"/>
          <w:highlight w:val="none"/>
          <w14:textFill>
            <w14:solidFill>
              <w14:schemeClr w14:val="tx1"/>
            </w14:solidFill>
          </w14:textFill>
        </w:rPr>
        <w:t>说明</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该工作室可进行较高要求的无菌操作，便于开展植物的接种及培养，整个工作室由教学与无菌接种区、准备和活动区两个区域组成。教学与无菌接种区完成实验的相关教学与进行组培的接种及相关的无菌操作，放置超净工作台；准备和活动区是进行准备与观察。适用于开展小组探究实验活动或16人的上课教学。</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 w:name="_GoBack"/>
      <w:bookmarkEnd w:id="1"/>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工作室建设标准参考</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GB 19489—2004 工作室 生物安全通用要求 </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WS 233—2002 组织培养和生物医学工作室生物安全通用准则</w:t>
      </w:r>
    </w:p>
    <w:p>
      <w:pPr>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GB/T27403-2008工作室质量控制规范理解与实施</w:t>
      </w:r>
    </w:p>
    <w:p>
      <w:pPr>
        <w:spacing w:before="156" w:beforeLines="50" w:line="300" w:lineRule="auto"/>
        <w:jc w:val="left"/>
        <w:rPr>
          <w:rFonts w:hint="eastAsia" w:ascii="宋体" w:hAnsi="宋体" w:eastAsia="宋体" w:cs="宋体"/>
          <w:b w:val="0"/>
          <w:bCs w:val="0"/>
          <w:color w:val="000000" w:themeColor="text1"/>
          <w:sz w:val="21"/>
          <w:szCs w:val="21"/>
          <w:highlight w:val="none"/>
          <w14:textFill>
            <w14:solidFill>
              <w14:schemeClr w14:val="tx1"/>
            </w14:solidFill>
          </w14:textFill>
        </w:rPr>
      </w:pPr>
    </w:p>
    <w:p>
      <w:pPr>
        <w:numPr>
          <w:ilvl w:val="0"/>
          <w:numId w:val="0"/>
        </w:numPr>
        <w:spacing w:line="360" w:lineRule="auto"/>
        <w:ind w:leftChars="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六、方案总体报价：</w:t>
      </w:r>
    </w:p>
    <w:p>
      <w:pPr>
        <w:spacing w:before="156" w:beforeLines="50" w:line="30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before="156" w:beforeLines="50" w:line="30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p>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p>
      <w:pPr>
        <w:widowControl/>
        <w:jc w:val="left"/>
        <w:rPr>
          <w:rFonts w:hint="eastAsia" w:ascii="宋体" w:hAnsi="宋体" w:eastAsia="宋体" w:cs="宋体"/>
          <w:b w:val="0"/>
          <w:bCs w:val="0"/>
          <w:color w:val="000000" w:themeColor="text1"/>
          <w:sz w:val="21"/>
          <w:szCs w:val="21"/>
          <w:highlight w:val="none"/>
          <w14:textFill>
            <w14:solidFill>
              <w14:schemeClr w14:val="tx1"/>
            </w14:solidFill>
          </w14:textFill>
        </w:rPr>
      </w:pPr>
    </w:p>
    <w:p>
      <w:pPr>
        <w:bidi w:val="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p>
      <w:pPr>
        <w:bidi w:val="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bidi w:val="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bidi w:val="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bidi w:val="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pPr>
        <w:tabs>
          <w:tab w:val="left" w:pos="8946"/>
        </w:tabs>
        <w:bidi w:val="0"/>
        <w:jc w:val="righ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公司：********</w:t>
      </w:r>
    </w:p>
    <w:p>
      <w:pPr>
        <w:tabs>
          <w:tab w:val="left" w:pos="8946"/>
        </w:tabs>
        <w:bidi w:val="0"/>
        <w:jc w:val="righ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时间：*年*月*日</w:t>
      </w:r>
    </w:p>
    <w:p>
      <w:pPr>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757994"/>
      <w:docPartObj>
        <w:docPartGallery w:val="autotext"/>
      </w:docPartObj>
    </w:sdtPr>
    <w:sdtContent>
      <w:p>
        <w:pPr>
          <w:pStyle w:val="2"/>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3D89B"/>
    <w:multiLevelType w:val="singleLevel"/>
    <w:tmpl w:val="D903D89B"/>
    <w:lvl w:ilvl="0" w:tentative="0">
      <w:start w:val="3"/>
      <w:numFmt w:val="chineseCounting"/>
      <w:suff w:val="nothing"/>
      <w:lvlText w:val="%1、"/>
      <w:lvlJc w:val="left"/>
      <w:rPr>
        <w:rFonts w:hint="eastAsia"/>
      </w:rPr>
    </w:lvl>
  </w:abstractNum>
  <w:abstractNum w:abstractNumId="1">
    <w:nsid w:val="0BC8301D"/>
    <w:multiLevelType w:val="multilevel"/>
    <w:tmpl w:val="0BC8301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152DB"/>
    <w:rsid w:val="05575546"/>
    <w:rsid w:val="06303B7D"/>
    <w:rsid w:val="080E3CDA"/>
    <w:rsid w:val="09A27CA6"/>
    <w:rsid w:val="09CC7E84"/>
    <w:rsid w:val="0B36737A"/>
    <w:rsid w:val="1031418C"/>
    <w:rsid w:val="10E72DC1"/>
    <w:rsid w:val="192D2A08"/>
    <w:rsid w:val="1CD10C81"/>
    <w:rsid w:val="2B8A11ED"/>
    <w:rsid w:val="33823717"/>
    <w:rsid w:val="33DE19C4"/>
    <w:rsid w:val="3ACB734B"/>
    <w:rsid w:val="404E3C30"/>
    <w:rsid w:val="42D5193B"/>
    <w:rsid w:val="49027A4C"/>
    <w:rsid w:val="49C46B01"/>
    <w:rsid w:val="596A6922"/>
    <w:rsid w:val="5A8A6D9B"/>
    <w:rsid w:val="5BC548EA"/>
    <w:rsid w:val="5F042D7A"/>
    <w:rsid w:val="60674629"/>
    <w:rsid w:val="651F6141"/>
    <w:rsid w:val="6C4229DB"/>
    <w:rsid w:val="6C80074E"/>
    <w:rsid w:val="6F750152"/>
    <w:rsid w:val="708C5C49"/>
    <w:rsid w:val="76E95C68"/>
    <w:rsid w:val="790824CC"/>
    <w:rsid w:val="7A5B3621"/>
    <w:rsid w:val="7B22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gongkai_content_2_title1"/>
    <w:basedOn w:val="5"/>
    <w:qFormat/>
    <w:uiPriority w:val="0"/>
    <w:rPr>
      <w:rFonts w:hint="eastAsia" w:ascii="黑体" w:hAnsi="黑体" w:eastAsia="黑体"/>
      <w:b/>
      <w:bCs/>
      <w:sz w:val="28"/>
      <w:szCs w:val="2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    ］</cp:lastModifiedBy>
  <dcterms:modified xsi:type="dcterms:W3CDTF">2020-08-14T03:37:19Z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